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2BB40" w14:textId="08F3DD94" w:rsidR="008E3BAB" w:rsidRPr="008E3BAB" w:rsidRDefault="008E3BAB" w:rsidP="004E6AE8">
      <w:pPr>
        <w:pStyle w:val="Heading1"/>
      </w:pPr>
      <w:r w:rsidRPr="008E3BAB">
        <w:t>General Education Induction Program Standards</w:t>
      </w:r>
      <w:r w:rsidR="004E6AE8">
        <w:br/>
      </w:r>
      <w:r w:rsidRPr="008E3BAB">
        <w:t>Adopted December 2015</w:t>
      </w:r>
    </w:p>
    <w:p w14:paraId="412D7252" w14:textId="77777777" w:rsidR="008E3BAB" w:rsidRDefault="008E3BAB">
      <w:pPr>
        <w:rPr>
          <w:rFonts w:ascii="Calibri" w:hAnsi="Calibri"/>
        </w:rPr>
      </w:pPr>
    </w:p>
    <w:p w14:paraId="47CEB34E" w14:textId="63F1754A" w:rsidR="00273C1E" w:rsidRPr="00E644A0" w:rsidRDefault="00273C1E">
      <w:pPr>
        <w:rPr>
          <w:rFonts w:ascii="Calibri" w:hAnsi="Calibri"/>
        </w:rPr>
      </w:pPr>
      <w:r w:rsidRPr="00E644A0">
        <w:rPr>
          <w:rFonts w:ascii="Calibri" w:hAnsi="Calibri"/>
        </w:rPr>
        <w:t>Please use the template below to outline the institution's plan to address each portion of the program standards, and hyperlink to evidence to support your narrative.</w:t>
      </w:r>
    </w:p>
    <w:p w14:paraId="5FC19E10" w14:textId="77777777" w:rsidR="00E644A0" w:rsidRDefault="00E644A0" w:rsidP="00427A57">
      <w:pPr>
        <w:jc w:val="center"/>
        <w:rPr>
          <w:rFonts w:ascii="Calibri" w:hAnsi="Calibri"/>
          <w:b/>
        </w:rPr>
      </w:pPr>
    </w:p>
    <w:p w14:paraId="21D9A6C7" w14:textId="77777777" w:rsidR="006E0769" w:rsidRPr="008E3BAB" w:rsidRDefault="00427A57" w:rsidP="004E6AE8">
      <w:pPr>
        <w:pStyle w:val="Heading2"/>
      </w:pPr>
      <w:r w:rsidRPr="008E3BAB">
        <w:t>Induction Standard 1: Program Purpose</w:t>
      </w:r>
    </w:p>
    <w:p w14:paraId="35DFE767" w14:textId="77777777" w:rsidR="00273C1E" w:rsidRPr="00E644A0" w:rsidRDefault="006E0769" w:rsidP="00427A57">
      <w:pPr>
        <w:jc w:val="center"/>
        <w:rPr>
          <w:rFonts w:ascii="Calibri" w:hAnsi="Calibri"/>
          <w:i/>
          <w:sz w:val="20"/>
        </w:rPr>
      </w:pPr>
      <w:r w:rsidRPr="00E644A0">
        <w:rPr>
          <w:rFonts w:ascii="Calibri" w:hAnsi="Calibri"/>
          <w:i/>
          <w:sz w:val="20"/>
        </w:rPr>
        <w:t>Note:  The CTC recommends that institutions write to this standard last and provide an overview of the program here as the remaining standards ask for details regarding these foundational concepts.</w:t>
      </w:r>
    </w:p>
    <w:tbl>
      <w:tblPr>
        <w:tblStyle w:val="TableGrid"/>
        <w:tblW w:w="9558" w:type="dxa"/>
        <w:tblLook w:val="00A0" w:firstRow="1" w:lastRow="0" w:firstColumn="1" w:lastColumn="0" w:noHBand="0" w:noVBand="0"/>
      </w:tblPr>
      <w:tblGrid>
        <w:gridCol w:w="2952"/>
        <w:gridCol w:w="4086"/>
        <w:gridCol w:w="2520"/>
      </w:tblGrid>
      <w:tr w:rsidR="006E0769" w:rsidRPr="00E644A0" w14:paraId="4600E035" w14:textId="77777777" w:rsidTr="004E6AE8">
        <w:trPr>
          <w:cantSplit/>
          <w:trHeight w:val="368"/>
          <w:tblHeader/>
        </w:trPr>
        <w:tc>
          <w:tcPr>
            <w:tcW w:w="2952" w:type="dxa"/>
            <w:tcBorders>
              <w:bottom w:val="single" w:sz="4" w:space="0" w:color="000000" w:themeColor="text1"/>
            </w:tcBorders>
            <w:shd w:val="clear" w:color="auto" w:fill="BFBFBF" w:themeFill="background1" w:themeFillShade="BF"/>
          </w:tcPr>
          <w:p w14:paraId="69BD1C5A" w14:textId="77777777" w:rsidR="006E0769" w:rsidRPr="00E644A0" w:rsidRDefault="006E0769" w:rsidP="006E0769">
            <w:pPr>
              <w:jc w:val="center"/>
              <w:rPr>
                <w:rFonts w:ascii="Calibri" w:hAnsi="Calibri"/>
                <w:b/>
              </w:rPr>
            </w:pPr>
            <w:r w:rsidRPr="00E644A0">
              <w:rPr>
                <w:rFonts w:ascii="Calibri" w:hAnsi="Calibri"/>
                <w:b/>
              </w:rPr>
              <w:t>Standard Section</w:t>
            </w:r>
          </w:p>
        </w:tc>
        <w:tc>
          <w:tcPr>
            <w:tcW w:w="4086" w:type="dxa"/>
            <w:tcBorders>
              <w:bottom w:val="single" w:sz="4" w:space="0" w:color="000000" w:themeColor="text1"/>
            </w:tcBorders>
            <w:shd w:val="clear" w:color="auto" w:fill="BFBFBF" w:themeFill="background1" w:themeFillShade="BF"/>
          </w:tcPr>
          <w:p w14:paraId="16F5A2E8" w14:textId="77777777" w:rsidR="006E0769" w:rsidRPr="00E644A0" w:rsidRDefault="006E0769" w:rsidP="006E0769">
            <w:pPr>
              <w:jc w:val="center"/>
              <w:rPr>
                <w:rFonts w:ascii="Calibri" w:hAnsi="Calibri"/>
                <w:b/>
              </w:rPr>
            </w:pPr>
            <w:r w:rsidRPr="00E644A0">
              <w:rPr>
                <w:rFonts w:ascii="Calibri" w:hAnsi="Calibri"/>
                <w:b/>
              </w:rPr>
              <w:t>Narrative Response</w:t>
            </w:r>
          </w:p>
        </w:tc>
        <w:tc>
          <w:tcPr>
            <w:tcW w:w="2520" w:type="dxa"/>
            <w:tcBorders>
              <w:bottom w:val="single" w:sz="4" w:space="0" w:color="000000" w:themeColor="text1"/>
            </w:tcBorders>
            <w:shd w:val="clear" w:color="auto" w:fill="BFBFBF" w:themeFill="background1" w:themeFillShade="BF"/>
          </w:tcPr>
          <w:p w14:paraId="68775B92" w14:textId="77777777" w:rsidR="006E0769" w:rsidRPr="00E644A0" w:rsidRDefault="006E0769" w:rsidP="006E0769">
            <w:pPr>
              <w:jc w:val="center"/>
              <w:rPr>
                <w:rFonts w:ascii="Calibri" w:hAnsi="Calibri"/>
                <w:b/>
              </w:rPr>
            </w:pPr>
            <w:r w:rsidRPr="00E644A0">
              <w:rPr>
                <w:rFonts w:ascii="Calibri" w:hAnsi="Calibri"/>
                <w:b/>
              </w:rPr>
              <w:t>Documentation (Hyperlinked)</w:t>
            </w:r>
          </w:p>
        </w:tc>
      </w:tr>
      <w:tr w:rsidR="006E0769" w:rsidRPr="00E644A0" w14:paraId="300C76F3" w14:textId="77777777" w:rsidTr="004E6AE8">
        <w:trPr>
          <w:cantSplit/>
          <w:trHeight w:val="4683"/>
        </w:trPr>
        <w:tc>
          <w:tcPr>
            <w:tcW w:w="2952" w:type="dxa"/>
            <w:tcBorders>
              <w:bottom w:val="single" w:sz="4" w:space="0" w:color="000000" w:themeColor="text1"/>
            </w:tcBorders>
          </w:tcPr>
          <w:p w14:paraId="2AA627DF" w14:textId="77777777" w:rsidR="006E0769" w:rsidRPr="00E644A0" w:rsidRDefault="006E0769" w:rsidP="00427A57">
            <w:pPr>
              <w:jc w:val="both"/>
              <w:rPr>
                <w:rFonts w:ascii="Calibri" w:hAnsi="Calibri"/>
              </w:rPr>
            </w:pPr>
            <w:r w:rsidRPr="00E644A0">
              <w:rPr>
                <w:rFonts w:ascii="Calibri" w:hAnsi="Calibri"/>
              </w:rPr>
              <w:t xml:space="preserve">Each Induction program must support candidate development and growth in the profession </w:t>
            </w:r>
          </w:p>
          <w:p w14:paraId="43546EF4" w14:textId="77777777" w:rsidR="006E0769" w:rsidRPr="00E644A0" w:rsidRDefault="006E0769">
            <w:pPr>
              <w:rPr>
                <w:rFonts w:ascii="Calibri" w:hAnsi="Calibri"/>
              </w:rPr>
            </w:pPr>
            <w:r w:rsidRPr="00E644A0">
              <w:rPr>
                <w:rFonts w:ascii="Calibri" w:hAnsi="Calibri"/>
              </w:rPr>
              <w:t>by building on the knowledge and skills gained during the Preliminary Preparation program</w:t>
            </w:r>
          </w:p>
          <w:p w14:paraId="1931516C" w14:textId="77777777" w:rsidR="006E0769" w:rsidRPr="00E644A0" w:rsidRDefault="006E0769">
            <w:pPr>
              <w:rPr>
                <w:rFonts w:ascii="Calibri" w:hAnsi="Calibri"/>
              </w:rPr>
            </w:pPr>
            <w:r w:rsidRPr="00E644A0">
              <w:rPr>
                <w:rFonts w:ascii="Calibri" w:hAnsi="Calibri"/>
              </w:rPr>
              <w:t>to design and implement a robust mentoring system, as described in the following standards,</w:t>
            </w:r>
          </w:p>
          <w:p w14:paraId="140D5A5A" w14:textId="77777777" w:rsidR="006E0769" w:rsidRPr="00E644A0" w:rsidRDefault="006E0769" w:rsidP="006E0769">
            <w:pPr>
              <w:rPr>
                <w:rFonts w:ascii="Calibri" w:hAnsi="Calibri"/>
              </w:rPr>
            </w:pPr>
            <w:r w:rsidRPr="00E644A0">
              <w:rPr>
                <w:rFonts w:ascii="Calibri" w:hAnsi="Calibri"/>
              </w:rPr>
              <w:t xml:space="preserve">that helps each candidate work to meet the </w:t>
            </w:r>
            <w:r w:rsidRPr="00E644A0">
              <w:rPr>
                <w:rFonts w:ascii="Calibri" w:hAnsi="Calibri"/>
                <w:i/>
              </w:rPr>
              <w:t>California Standards for the Teaching Profession</w:t>
            </w:r>
            <w:r w:rsidRPr="00E644A0">
              <w:rPr>
                <w:rFonts w:ascii="Calibri" w:hAnsi="Calibri"/>
              </w:rPr>
              <w:t>.</w:t>
            </w:r>
          </w:p>
        </w:tc>
        <w:tc>
          <w:tcPr>
            <w:tcW w:w="4086" w:type="dxa"/>
            <w:tcBorders>
              <w:bottom w:val="single" w:sz="4" w:space="0" w:color="000000" w:themeColor="text1"/>
            </w:tcBorders>
          </w:tcPr>
          <w:p w14:paraId="5F4FF86C" w14:textId="77777777" w:rsidR="006E0769" w:rsidRPr="00E644A0" w:rsidRDefault="006E0769">
            <w:pPr>
              <w:rPr>
                <w:rFonts w:ascii="Calibri" w:hAnsi="Calibri"/>
              </w:rPr>
            </w:pPr>
          </w:p>
        </w:tc>
        <w:tc>
          <w:tcPr>
            <w:tcW w:w="2520" w:type="dxa"/>
            <w:tcBorders>
              <w:bottom w:val="single" w:sz="4" w:space="0" w:color="000000" w:themeColor="text1"/>
            </w:tcBorders>
          </w:tcPr>
          <w:p w14:paraId="19FA3D40" w14:textId="77777777" w:rsidR="006E0769" w:rsidRPr="00E644A0" w:rsidRDefault="006E0769">
            <w:pPr>
              <w:rPr>
                <w:rFonts w:ascii="Calibri" w:hAnsi="Calibri"/>
              </w:rPr>
            </w:pPr>
          </w:p>
        </w:tc>
      </w:tr>
    </w:tbl>
    <w:p w14:paraId="693C12AE" w14:textId="77777777" w:rsidR="006E0769" w:rsidRPr="00E644A0" w:rsidRDefault="006E0769">
      <w:pPr>
        <w:rPr>
          <w:rFonts w:ascii="Calibri" w:hAnsi="Calibri"/>
        </w:rPr>
      </w:pPr>
    </w:p>
    <w:p w14:paraId="40A58536" w14:textId="77777777" w:rsidR="00427A57" w:rsidRPr="008E3BAB" w:rsidRDefault="00427A57" w:rsidP="004E6AE8">
      <w:pPr>
        <w:pStyle w:val="Heading2"/>
      </w:pPr>
      <w:r w:rsidRPr="008E3BAB">
        <w:t>Induction Standard 2: Components of the Mentoring Design</w:t>
      </w:r>
    </w:p>
    <w:tbl>
      <w:tblPr>
        <w:tblStyle w:val="TableGrid"/>
        <w:tblW w:w="9558" w:type="dxa"/>
        <w:tblLook w:val="00A0" w:firstRow="1" w:lastRow="0" w:firstColumn="1" w:lastColumn="0" w:noHBand="0" w:noVBand="0"/>
      </w:tblPr>
      <w:tblGrid>
        <w:gridCol w:w="2952"/>
        <w:gridCol w:w="4086"/>
        <w:gridCol w:w="2520"/>
      </w:tblGrid>
      <w:tr w:rsidR="006E0769" w:rsidRPr="00E644A0" w14:paraId="7F2FBC0C" w14:textId="77777777" w:rsidTr="008E3BAB">
        <w:trPr>
          <w:cantSplit/>
          <w:tblHeader/>
        </w:trPr>
        <w:tc>
          <w:tcPr>
            <w:tcW w:w="2952" w:type="dxa"/>
            <w:shd w:val="clear" w:color="auto" w:fill="BFBFBF" w:themeFill="background1" w:themeFillShade="BF"/>
          </w:tcPr>
          <w:p w14:paraId="28F446F4" w14:textId="77777777" w:rsidR="006E0769" w:rsidRPr="00E644A0" w:rsidRDefault="006E0769" w:rsidP="006E0769">
            <w:pPr>
              <w:jc w:val="center"/>
              <w:rPr>
                <w:rFonts w:ascii="Calibri" w:hAnsi="Calibri"/>
                <w:b/>
              </w:rPr>
            </w:pPr>
            <w:r w:rsidRPr="00E644A0">
              <w:rPr>
                <w:rFonts w:ascii="Calibri" w:hAnsi="Calibri"/>
                <w:b/>
              </w:rPr>
              <w:t>Standard Section</w:t>
            </w:r>
          </w:p>
        </w:tc>
        <w:tc>
          <w:tcPr>
            <w:tcW w:w="4086" w:type="dxa"/>
            <w:shd w:val="clear" w:color="auto" w:fill="BFBFBF" w:themeFill="background1" w:themeFillShade="BF"/>
          </w:tcPr>
          <w:p w14:paraId="3E52CC6B" w14:textId="77777777" w:rsidR="006E0769" w:rsidRPr="00E644A0" w:rsidRDefault="006E0769" w:rsidP="006E0769">
            <w:pPr>
              <w:jc w:val="center"/>
              <w:rPr>
                <w:rFonts w:ascii="Calibri" w:hAnsi="Calibri"/>
                <w:b/>
              </w:rPr>
            </w:pPr>
            <w:r w:rsidRPr="00E644A0">
              <w:rPr>
                <w:rFonts w:ascii="Calibri" w:hAnsi="Calibri"/>
                <w:b/>
              </w:rPr>
              <w:t>Narrative Response</w:t>
            </w:r>
          </w:p>
        </w:tc>
        <w:tc>
          <w:tcPr>
            <w:tcW w:w="2520" w:type="dxa"/>
            <w:shd w:val="clear" w:color="auto" w:fill="BFBFBF" w:themeFill="background1" w:themeFillShade="BF"/>
          </w:tcPr>
          <w:p w14:paraId="0978ED2E" w14:textId="77777777" w:rsidR="006E0769" w:rsidRPr="00E644A0" w:rsidRDefault="006E0769" w:rsidP="006E0769">
            <w:pPr>
              <w:jc w:val="center"/>
              <w:rPr>
                <w:rFonts w:ascii="Calibri" w:hAnsi="Calibri"/>
                <w:b/>
              </w:rPr>
            </w:pPr>
            <w:r w:rsidRPr="00E644A0">
              <w:rPr>
                <w:rFonts w:ascii="Calibri" w:hAnsi="Calibri"/>
                <w:b/>
              </w:rPr>
              <w:t>Documentation (Hyperlink)</w:t>
            </w:r>
          </w:p>
        </w:tc>
      </w:tr>
      <w:tr w:rsidR="006E0769" w:rsidRPr="00E644A0" w14:paraId="13EEAD49" w14:textId="77777777" w:rsidTr="008E3BAB">
        <w:trPr>
          <w:cantSplit/>
        </w:trPr>
        <w:tc>
          <w:tcPr>
            <w:tcW w:w="2952" w:type="dxa"/>
          </w:tcPr>
          <w:p w14:paraId="654E1D5B" w14:textId="77777777" w:rsidR="006E0769" w:rsidRPr="00E644A0" w:rsidRDefault="006E0769" w:rsidP="00C859C7">
            <w:pPr>
              <w:rPr>
                <w:rFonts w:ascii="Calibri" w:hAnsi="Calibri"/>
              </w:rPr>
            </w:pPr>
            <w:r w:rsidRPr="00E644A0">
              <w:rPr>
                <w:rFonts w:ascii="Calibri" w:hAnsi="Calibri"/>
              </w:rPr>
              <w:t xml:space="preserve">The Induction program’s mentoring design must be based on a sound rationale informed by theory and research, and must provide multiple opportunities for candidates to demonstrate growth in the California Standards for the Teaching Profession. </w:t>
            </w:r>
          </w:p>
        </w:tc>
        <w:tc>
          <w:tcPr>
            <w:tcW w:w="4086" w:type="dxa"/>
          </w:tcPr>
          <w:p w14:paraId="00C915C9" w14:textId="77777777" w:rsidR="006E0769" w:rsidRPr="00E644A0" w:rsidRDefault="006E0769">
            <w:pPr>
              <w:rPr>
                <w:rFonts w:ascii="Calibri" w:hAnsi="Calibri"/>
              </w:rPr>
            </w:pPr>
          </w:p>
        </w:tc>
        <w:tc>
          <w:tcPr>
            <w:tcW w:w="2520" w:type="dxa"/>
          </w:tcPr>
          <w:p w14:paraId="3D557ECF" w14:textId="77777777" w:rsidR="006E0769" w:rsidRPr="00E644A0" w:rsidRDefault="006E0769">
            <w:pPr>
              <w:rPr>
                <w:rFonts w:ascii="Calibri" w:hAnsi="Calibri"/>
              </w:rPr>
            </w:pPr>
          </w:p>
        </w:tc>
      </w:tr>
      <w:tr w:rsidR="006E0769" w:rsidRPr="00E644A0" w14:paraId="52888B79" w14:textId="77777777" w:rsidTr="008E3BAB">
        <w:trPr>
          <w:cantSplit/>
        </w:trPr>
        <w:tc>
          <w:tcPr>
            <w:tcW w:w="2952" w:type="dxa"/>
          </w:tcPr>
          <w:p w14:paraId="467A7F8B" w14:textId="77777777" w:rsidR="006E0769" w:rsidRPr="00E644A0" w:rsidRDefault="006E0769" w:rsidP="006E0769">
            <w:pPr>
              <w:rPr>
                <w:rFonts w:ascii="Calibri" w:hAnsi="Calibri"/>
              </w:rPr>
            </w:pPr>
            <w:r w:rsidRPr="00E644A0">
              <w:rPr>
                <w:rFonts w:ascii="Calibri" w:hAnsi="Calibri"/>
              </w:rPr>
              <w:lastRenderedPageBreak/>
              <w:t xml:space="preserve">The mentoring approach implemented by the program must include the development of an Individualized Learning Plan (ILP) for candidates based on needs determined by the teacher and program provider, in consultation with the site administrator and guided by the Preliminary Program Transition Plan. </w:t>
            </w:r>
          </w:p>
        </w:tc>
        <w:tc>
          <w:tcPr>
            <w:tcW w:w="4086" w:type="dxa"/>
          </w:tcPr>
          <w:p w14:paraId="647BCFE9" w14:textId="77777777" w:rsidR="006E0769" w:rsidRPr="00E644A0" w:rsidRDefault="006E0769">
            <w:pPr>
              <w:rPr>
                <w:rFonts w:ascii="Calibri" w:hAnsi="Calibri"/>
              </w:rPr>
            </w:pPr>
          </w:p>
        </w:tc>
        <w:tc>
          <w:tcPr>
            <w:tcW w:w="2520" w:type="dxa"/>
          </w:tcPr>
          <w:p w14:paraId="7CE4045E" w14:textId="77777777" w:rsidR="006E0769" w:rsidRPr="00E644A0" w:rsidRDefault="006E0769">
            <w:pPr>
              <w:rPr>
                <w:rFonts w:ascii="Calibri" w:hAnsi="Calibri"/>
              </w:rPr>
            </w:pPr>
          </w:p>
        </w:tc>
      </w:tr>
      <w:tr w:rsidR="006E0769" w:rsidRPr="00E644A0" w14:paraId="43BCB71D" w14:textId="77777777" w:rsidTr="008E3BAB">
        <w:trPr>
          <w:cantSplit/>
        </w:trPr>
        <w:tc>
          <w:tcPr>
            <w:tcW w:w="2952" w:type="dxa"/>
          </w:tcPr>
          <w:p w14:paraId="5B5B8E93" w14:textId="77777777" w:rsidR="006E0769" w:rsidRPr="00E644A0" w:rsidRDefault="006E0769" w:rsidP="006E0769">
            <w:pPr>
              <w:rPr>
                <w:rFonts w:ascii="Calibri" w:hAnsi="Calibri"/>
              </w:rPr>
            </w:pPr>
            <w:r w:rsidRPr="00E644A0">
              <w:rPr>
                <w:rFonts w:ascii="Calibri" w:hAnsi="Calibri"/>
              </w:rPr>
              <w:t xml:space="preserve">The ILP must address identified candidate competencies that support the recommendation for the credential. Mentoring support for candidates must include both “just in time” and longer term analysis of teaching practice to help candidates develop enduring professional skills. </w:t>
            </w:r>
          </w:p>
        </w:tc>
        <w:tc>
          <w:tcPr>
            <w:tcW w:w="4086" w:type="dxa"/>
          </w:tcPr>
          <w:p w14:paraId="627993A3" w14:textId="77777777" w:rsidR="006E0769" w:rsidRPr="00E644A0" w:rsidRDefault="006E0769">
            <w:pPr>
              <w:rPr>
                <w:rFonts w:ascii="Calibri" w:hAnsi="Calibri"/>
              </w:rPr>
            </w:pPr>
          </w:p>
        </w:tc>
        <w:tc>
          <w:tcPr>
            <w:tcW w:w="2520" w:type="dxa"/>
          </w:tcPr>
          <w:p w14:paraId="6D21C62E" w14:textId="77777777" w:rsidR="006E0769" w:rsidRPr="00E644A0" w:rsidRDefault="006E0769">
            <w:pPr>
              <w:rPr>
                <w:rFonts w:ascii="Calibri" w:hAnsi="Calibri"/>
              </w:rPr>
            </w:pPr>
          </w:p>
        </w:tc>
      </w:tr>
      <w:tr w:rsidR="006E0769" w:rsidRPr="00E644A0" w14:paraId="0D8087D8" w14:textId="77777777" w:rsidTr="008E3BAB">
        <w:trPr>
          <w:cantSplit/>
        </w:trPr>
        <w:tc>
          <w:tcPr>
            <w:tcW w:w="2952" w:type="dxa"/>
          </w:tcPr>
          <w:p w14:paraId="39C9BCA9" w14:textId="77777777" w:rsidR="006E0769" w:rsidRPr="00E644A0" w:rsidRDefault="006E0769">
            <w:pPr>
              <w:rPr>
                <w:rFonts w:ascii="Calibri" w:hAnsi="Calibri"/>
              </w:rPr>
            </w:pPr>
            <w:r w:rsidRPr="00E644A0">
              <w:rPr>
                <w:rFonts w:ascii="Calibri" w:hAnsi="Calibri"/>
              </w:rPr>
              <w:t>The program’s design features both individually and as a whole must serve to strengthen the candidate’s professional practice and contribute to the candidate’s future retention in the profession.</w:t>
            </w:r>
          </w:p>
        </w:tc>
        <w:tc>
          <w:tcPr>
            <w:tcW w:w="4086" w:type="dxa"/>
          </w:tcPr>
          <w:p w14:paraId="0B57732B" w14:textId="77777777" w:rsidR="006E0769" w:rsidRPr="00E644A0" w:rsidRDefault="006E0769">
            <w:pPr>
              <w:rPr>
                <w:rFonts w:ascii="Calibri" w:hAnsi="Calibri"/>
              </w:rPr>
            </w:pPr>
          </w:p>
        </w:tc>
        <w:tc>
          <w:tcPr>
            <w:tcW w:w="2520" w:type="dxa"/>
          </w:tcPr>
          <w:p w14:paraId="34E9EEF2" w14:textId="77777777" w:rsidR="006E0769" w:rsidRPr="00E644A0" w:rsidRDefault="006E0769">
            <w:pPr>
              <w:rPr>
                <w:rFonts w:ascii="Calibri" w:hAnsi="Calibri"/>
              </w:rPr>
            </w:pPr>
          </w:p>
        </w:tc>
      </w:tr>
    </w:tbl>
    <w:p w14:paraId="16E8195A" w14:textId="77777777" w:rsidR="006E0769" w:rsidRPr="00E644A0" w:rsidRDefault="006E0769" w:rsidP="006E0769">
      <w:pPr>
        <w:jc w:val="both"/>
        <w:rPr>
          <w:rFonts w:ascii="Calibri" w:hAnsi="Calibri"/>
        </w:rPr>
      </w:pPr>
    </w:p>
    <w:p w14:paraId="54CC1621" w14:textId="783AAA92" w:rsidR="006E0769" w:rsidRPr="008E3BAB" w:rsidRDefault="006E0769" w:rsidP="004E6AE8">
      <w:pPr>
        <w:pStyle w:val="Heading2"/>
      </w:pPr>
      <w:r w:rsidRPr="008E3BAB">
        <w:t>Induction Standard 3: Designing and Implementing Individual Learning Plans</w:t>
      </w:r>
      <w:r w:rsidR="004E6AE8">
        <w:t xml:space="preserve"> </w:t>
      </w:r>
      <w:r w:rsidRPr="008E3BAB">
        <w:t>within the Mentoring System</w:t>
      </w:r>
    </w:p>
    <w:tbl>
      <w:tblPr>
        <w:tblStyle w:val="TableGrid"/>
        <w:tblW w:w="9558" w:type="dxa"/>
        <w:tblLook w:val="00A0" w:firstRow="1" w:lastRow="0" w:firstColumn="1" w:lastColumn="0" w:noHBand="0" w:noVBand="0"/>
      </w:tblPr>
      <w:tblGrid>
        <w:gridCol w:w="2952"/>
        <w:gridCol w:w="4086"/>
        <w:gridCol w:w="2520"/>
      </w:tblGrid>
      <w:tr w:rsidR="006E0769" w:rsidRPr="00E644A0" w14:paraId="4DD87477" w14:textId="77777777" w:rsidTr="008E3BAB">
        <w:trPr>
          <w:cantSplit/>
          <w:tblHeader/>
        </w:trPr>
        <w:tc>
          <w:tcPr>
            <w:tcW w:w="2952" w:type="dxa"/>
            <w:shd w:val="clear" w:color="auto" w:fill="BFBFBF" w:themeFill="background1" w:themeFillShade="BF"/>
          </w:tcPr>
          <w:p w14:paraId="3479D298" w14:textId="77777777" w:rsidR="006E0769" w:rsidRPr="00E644A0" w:rsidRDefault="006E0769" w:rsidP="006E0769">
            <w:pPr>
              <w:jc w:val="center"/>
              <w:rPr>
                <w:rFonts w:ascii="Calibri" w:hAnsi="Calibri"/>
                <w:b/>
              </w:rPr>
            </w:pPr>
            <w:r w:rsidRPr="00E644A0">
              <w:rPr>
                <w:rFonts w:ascii="Calibri" w:hAnsi="Calibri"/>
                <w:b/>
              </w:rPr>
              <w:lastRenderedPageBreak/>
              <w:t>Standard Section</w:t>
            </w:r>
          </w:p>
        </w:tc>
        <w:tc>
          <w:tcPr>
            <w:tcW w:w="4086" w:type="dxa"/>
            <w:shd w:val="clear" w:color="auto" w:fill="BFBFBF" w:themeFill="background1" w:themeFillShade="BF"/>
          </w:tcPr>
          <w:p w14:paraId="4090EC8E" w14:textId="77777777" w:rsidR="006E0769" w:rsidRPr="00E644A0" w:rsidRDefault="006E0769" w:rsidP="006E0769">
            <w:pPr>
              <w:jc w:val="center"/>
              <w:rPr>
                <w:rFonts w:ascii="Calibri" w:hAnsi="Calibri"/>
                <w:b/>
              </w:rPr>
            </w:pPr>
            <w:r w:rsidRPr="00E644A0">
              <w:rPr>
                <w:rFonts w:ascii="Calibri" w:hAnsi="Calibri"/>
                <w:b/>
              </w:rPr>
              <w:t>Narrative Response</w:t>
            </w:r>
          </w:p>
        </w:tc>
        <w:tc>
          <w:tcPr>
            <w:tcW w:w="2520" w:type="dxa"/>
            <w:shd w:val="clear" w:color="auto" w:fill="BFBFBF" w:themeFill="background1" w:themeFillShade="BF"/>
          </w:tcPr>
          <w:p w14:paraId="12CFED8A" w14:textId="77777777" w:rsidR="006E0769" w:rsidRPr="00E644A0" w:rsidRDefault="006E0769" w:rsidP="006E0769">
            <w:pPr>
              <w:jc w:val="center"/>
              <w:rPr>
                <w:rFonts w:ascii="Calibri" w:hAnsi="Calibri"/>
                <w:b/>
              </w:rPr>
            </w:pPr>
            <w:r w:rsidRPr="00E644A0">
              <w:rPr>
                <w:rFonts w:ascii="Calibri" w:hAnsi="Calibri"/>
                <w:b/>
              </w:rPr>
              <w:t>Documentation (Hyperlink)</w:t>
            </w:r>
          </w:p>
        </w:tc>
      </w:tr>
      <w:tr w:rsidR="00273C1E" w:rsidRPr="00E644A0" w14:paraId="69602FF2" w14:textId="77777777" w:rsidTr="008E3BAB">
        <w:trPr>
          <w:cantSplit/>
        </w:trPr>
        <w:tc>
          <w:tcPr>
            <w:tcW w:w="2952" w:type="dxa"/>
          </w:tcPr>
          <w:p w14:paraId="03F8CEF4" w14:textId="77777777" w:rsidR="00273C1E" w:rsidRPr="00E644A0" w:rsidRDefault="00E644A0">
            <w:pPr>
              <w:rPr>
                <w:rFonts w:ascii="Calibri" w:hAnsi="Calibri"/>
              </w:rPr>
            </w:pPr>
            <w:r w:rsidRPr="00E644A0">
              <w:rPr>
                <w:rFonts w:ascii="Calibri" w:hAnsi="Calibri"/>
              </w:rPr>
              <w:t xml:space="preserve">The Individualized Learning Plan (ILP) must address the </w:t>
            </w:r>
            <w:r w:rsidRPr="00E644A0">
              <w:rPr>
                <w:rFonts w:ascii="Calibri" w:hAnsi="Calibri"/>
                <w:i/>
              </w:rPr>
              <w:t>California Standards for the Teaching Profession</w:t>
            </w:r>
            <w:r w:rsidRPr="00E644A0">
              <w:rPr>
                <w:rFonts w:ascii="Calibri" w:hAnsi="Calibri"/>
              </w:rPr>
              <w:t xml:space="preserve"> and provide the road map for candidates’ Induction work during their time in the program along with guidance for the mentor in providing support.</w:t>
            </w:r>
          </w:p>
        </w:tc>
        <w:tc>
          <w:tcPr>
            <w:tcW w:w="4086" w:type="dxa"/>
          </w:tcPr>
          <w:p w14:paraId="7B281252" w14:textId="77777777" w:rsidR="00273C1E" w:rsidRPr="00E644A0" w:rsidRDefault="00273C1E">
            <w:pPr>
              <w:rPr>
                <w:rFonts w:ascii="Calibri" w:hAnsi="Calibri"/>
              </w:rPr>
            </w:pPr>
          </w:p>
        </w:tc>
        <w:tc>
          <w:tcPr>
            <w:tcW w:w="2520" w:type="dxa"/>
          </w:tcPr>
          <w:p w14:paraId="4B53D005" w14:textId="77777777" w:rsidR="00273C1E" w:rsidRPr="00E644A0" w:rsidRDefault="00273C1E">
            <w:pPr>
              <w:rPr>
                <w:rFonts w:ascii="Calibri" w:hAnsi="Calibri"/>
              </w:rPr>
            </w:pPr>
          </w:p>
        </w:tc>
      </w:tr>
      <w:tr w:rsidR="00273C1E" w:rsidRPr="00E644A0" w14:paraId="4E5F93D9" w14:textId="77777777" w:rsidTr="008E3BAB">
        <w:trPr>
          <w:cantSplit/>
        </w:trPr>
        <w:tc>
          <w:tcPr>
            <w:tcW w:w="2952" w:type="dxa"/>
          </w:tcPr>
          <w:p w14:paraId="2A1C58D7" w14:textId="77777777" w:rsidR="00273C1E" w:rsidRPr="00E644A0" w:rsidRDefault="00E644A0">
            <w:pPr>
              <w:rPr>
                <w:rFonts w:ascii="Calibri" w:hAnsi="Calibri"/>
              </w:rPr>
            </w:pPr>
            <w:r w:rsidRPr="00E644A0">
              <w:rPr>
                <w:rFonts w:ascii="Calibri" w:hAnsi="Calibri"/>
              </w:rPr>
              <w:t>The ILP must be collaboratively developed at the beginning of Induction by the candidate and the mentor, with input from the employer regarding the candidate’s job assignment, and guidance from the program staff.</w:t>
            </w:r>
          </w:p>
        </w:tc>
        <w:tc>
          <w:tcPr>
            <w:tcW w:w="4086" w:type="dxa"/>
          </w:tcPr>
          <w:p w14:paraId="1C890899" w14:textId="77777777" w:rsidR="00273C1E" w:rsidRPr="00E644A0" w:rsidRDefault="00273C1E">
            <w:pPr>
              <w:rPr>
                <w:rFonts w:ascii="Calibri" w:hAnsi="Calibri"/>
              </w:rPr>
            </w:pPr>
          </w:p>
        </w:tc>
        <w:tc>
          <w:tcPr>
            <w:tcW w:w="2520" w:type="dxa"/>
          </w:tcPr>
          <w:p w14:paraId="501B9CEA" w14:textId="77777777" w:rsidR="00273C1E" w:rsidRPr="00E644A0" w:rsidRDefault="00273C1E">
            <w:pPr>
              <w:rPr>
                <w:rFonts w:ascii="Calibri" w:hAnsi="Calibri"/>
              </w:rPr>
            </w:pPr>
          </w:p>
        </w:tc>
      </w:tr>
      <w:tr w:rsidR="00273C1E" w:rsidRPr="00E644A0" w14:paraId="288E1E1A" w14:textId="77777777" w:rsidTr="008E3BAB">
        <w:trPr>
          <w:cantSplit/>
        </w:trPr>
        <w:tc>
          <w:tcPr>
            <w:tcW w:w="2952" w:type="dxa"/>
          </w:tcPr>
          <w:p w14:paraId="43B7D9AD" w14:textId="77777777" w:rsidR="00273C1E" w:rsidRPr="00E644A0" w:rsidRDefault="00E644A0">
            <w:pPr>
              <w:rPr>
                <w:rFonts w:ascii="Calibri" w:hAnsi="Calibri"/>
              </w:rPr>
            </w:pPr>
            <w:r w:rsidRPr="00E644A0">
              <w:rPr>
                <w:rFonts w:ascii="Calibri" w:hAnsi="Calibri"/>
              </w:rPr>
              <w:t>The ILP must include candidate professional growth goals, a description of how the candidate will work to meet those goals, defined and measurable outcomes for the candidate, and planned opportunities to reflect on progress and modify the ILP as needed.</w:t>
            </w:r>
          </w:p>
        </w:tc>
        <w:tc>
          <w:tcPr>
            <w:tcW w:w="4086" w:type="dxa"/>
          </w:tcPr>
          <w:p w14:paraId="7F26A69F" w14:textId="77777777" w:rsidR="00273C1E" w:rsidRPr="00E644A0" w:rsidRDefault="00273C1E">
            <w:pPr>
              <w:rPr>
                <w:rFonts w:ascii="Calibri" w:hAnsi="Calibri"/>
              </w:rPr>
            </w:pPr>
          </w:p>
        </w:tc>
        <w:tc>
          <w:tcPr>
            <w:tcW w:w="2520" w:type="dxa"/>
          </w:tcPr>
          <w:p w14:paraId="08D32DBB" w14:textId="77777777" w:rsidR="00273C1E" w:rsidRPr="00E644A0" w:rsidRDefault="00273C1E">
            <w:pPr>
              <w:rPr>
                <w:rFonts w:ascii="Calibri" w:hAnsi="Calibri"/>
              </w:rPr>
            </w:pPr>
          </w:p>
        </w:tc>
      </w:tr>
      <w:tr w:rsidR="00273C1E" w:rsidRPr="00E644A0" w14:paraId="775D4B81" w14:textId="77777777" w:rsidTr="008E3BAB">
        <w:trPr>
          <w:cantSplit/>
        </w:trPr>
        <w:tc>
          <w:tcPr>
            <w:tcW w:w="2952" w:type="dxa"/>
          </w:tcPr>
          <w:p w14:paraId="6F2583A4" w14:textId="77777777" w:rsidR="00E055AD" w:rsidRDefault="00E644A0">
            <w:pPr>
              <w:rPr>
                <w:rFonts w:ascii="Calibri" w:hAnsi="Calibri"/>
              </w:rPr>
            </w:pPr>
            <w:r w:rsidRPr="00E644A0">
              <w:rPr>
                <w:rFonts w:ascii="Calibri" w:hAnsi="Calibri"/>
              </w:rPr>
              <w:lastRenderedPageBreak/>
              <w:t>The candidate’s specific teaching assignment should provide the appropriate context for the development of the overall ILP; however, the candidate and the mentor may add additional goals based on the candidate’s professional</w:t>
            </w:r>
            <w:r w:rsidR="004341B2">
              <w:rPr>
                <w:rFonts w:ascii="Calibri" w:hAnsi="Calibri"/>
              </w:rPr>
              <w:t xml:space="preserve"> interests such as:</w:t>
            </w:r>
            <w:r w:rsidRPr="00E644A0">
              <w:rPr>
                <w:rFonts w:ascii="Calibri" w:hAnsi="Calibri"/>
              </w:rPr>
              <w:t xml:space="preserve"> advanced certifications, addit</w:t>
            </w:r>
            <w:r w:rsidR="004341B2">
              <w:rPr>
                <w:rFonts w:ascii="Calibri" w:hAnsi="Calibri"/>
              </w:rPr>
              <w:t>ional content area literacy,</w:t>
            </w:r>
            <w:r w:rsidRPr="00E644A0">
              <w:rPr>
                <w:rFonts w:ascii="Calibri" w:hAnsi="Calibri"/>
              </w:rPr>
              <w:t xml:space="preserve"> early childhood education</w:t>
            </w:r>
            <w:r w:rsidR="00E055AD">
              <w:rPr>
                <w:rFonts w:ascii="Calibri" w:hAnsi="Calibri"/>
              </w:rPr>
              <w:t xml:space="preserve">, </w:t>
            </w:r>
          </w:p>
          <w:p w14:paraId="0D380D43" w14:textId="77777777" w:rsidR="00273C1E" w:rsidRPr="00E644A0" w:rsidRDefault="004341B2">
            <w:pPr>
              <w:rPr>
                <w:rFonts w:ascii="Calibri" w:hAnsi="Calibri"/>
              </w:rPr>
            </w:pPr>
            <w:r>
              <w:rPr>
                <w:rFonts w:ascii="Calibri" w:hAnsi="Calibri"/>
              </w:rPr>
              <w:t>c</w:t>
            </w:r>
            <w:r w:rsidR="00E055AD">
              <w:rPr>
                <w:rFonts w:ascii="Calibri" w:hAnsi="Calibri"/>
              </w:rPr>
              <w:t>ase management, evidence-based practices supportive of specific disabilities within the candidate's caseload, consultation, collaboration, co-teaching, and collaborating with para-educators and service providers.</w:t>
            </w:r>
          </w:p>
        </w:tc>
        <w:tc>
          <w:tcPr>
            <w:tcW w:w="4086" w:type="dxa"/>
          </w:tcPr>
          <w:p w14:paraId="3A617F5C" w14:textId="77777777" w:rsidR="00273C1E" w:rsidRPr="00E644A0" w:rsidRDefault="00273C1E">
            <w:pPr>
              <w:rPr>
                <w:rFonts w:ascii="Calibri" w:hAnsi="Calibri"/>
              </w:rPr>
            </w:pPr>
          </w:p>
        </w:tc>
        <w:tc>
          <w:tcPr>
            <w:tcW w:w="2520" w:type="dxa"/>
          </w:tcPr>
          <w:p w14:paraId="495FB2DB" w14:textId="77777777" w:rsidR="00273C1E" w:rsidRPr="00E644A0" w:rsidRDefault="00273C1E">
            <w:pPr>
              <w:rPr>
                <w:rFonts w:ascii="Calibri" w:hAnsi="Calibri"/>
              </w:rPr>
            </w:pPr>
          </w:p>
        </w:tc>
      </w:tr>
      <w:tr w:rsidR="00273C1E" w:rsidRPr="00E644A0" w14:paraId="0240D80D" w14:textId="77777777" w:rsidTr="008E3BAB">
        <w:trPr>
          <w:cantSplit/>
        </w:trPr>
        <w:tc>
          <w:tcPr>
            <w:tcW w:w="2952" w:type="dxa"/>
          </w:tcPr>
          <w:p w14:paraId="51268CCC" w14:textId="77777777" w:rsidR="00273C1E" w:rsidRPr="00E644A0" w:rsidRDefault="00E644A0" w:rsidP="00C859C7">
            <w:pPr>
              <w:rPr>
                <w:rFonts w:ascii="Calibri" w:hAnsi="Calibri"/>
              </w:rPr>
            </w:pPr>
            <w:r w:rsidRPr="00E644A0">
              <w:rPr>
                <w:rFonts w:ascii="Calibri" w:hAnsi="Calibri"/>
              </w:rPr>
              <w:t xml:space="preserve">Within the ILP, professional learning and support opportunities must be identified for each candidate to practice and refine effective teaching practices for all students through focused cycles of inquiry. </w:t>
            </w:r>
          </w:p>
        </w:tc>
        <w:tc>
          <w:tcPr>
            <w:tcW w:w="4086" w:type="dxa"/>
          </w:tcPr>
          <w:p w14:paraId="4EF44E8B" w14:textId="77777777" w:rsidR="00273C1E" w:rsidRPr="00E644A0" w:rsidRDefault="00273C1E">
            <w:pPr>
              <w:rPr>
                <w:rFonts w:ascii="Calibri" w:hAnsi="Calibri"/>
              </w:rPr>
            </w:pPr>
          </w:p>
        </w:tc>
        <w:tc>
          <w:tcPr>
            <w:tcW w:w="2520" w:type="dxa"/>
          </w:tcPr>
          <w:p w14:paraId="0D75FB92" w14:textId="77777777" w:rsidR="00273C1E" w:rsidRPr="00E644A0" w:rsidRDefault="00273C1E">
            <w:pPr>
              <w:rPr>
                <w:rFonts w:ascii="Calibri" w:hAnsi="Calibri"/>
              </w:rPr>
            </w:pPr>
          </w:p>
        </w:tc>
      </w:tr>
    </w:tbl>
    <w:p w14:paraId="0CAD0D31" w14:textId="77777777" w:rsidR="00E644A0" w:rsidRPr="00E644A0" w:rsidRDefault="00E644A0">
      <w:pPr>
        <w:rPr>
          <w:rFonts w:ascii="Calibri" w:hAnsi="Calibri"/>
        </w:rPr>
      </w:pPr>
    </w:p>
    <w:p w14:paraId="65DFD98E" w14:textId="77777777" w:rsidR="00E644A0" w:rsidRPr="00E644A0" w:rsidRDefault="00E644A0" w:rsidP="00E644A0">
      <w:pPr>
        <w:jc w:val="both"/>
        <w:rPr>
          <w:rFonts w:ascii="Calibri" w:hAnsi="Calibri"/>
        </w:rPr>
      </w:pPr>
    </w:p>
    <w:p w14:paraId="57AA1BBB" w14:textId="77777777" w:rsidR="00E644A0" w:rsidRPr="008E3BAB" w:rsidRDefault="00E644A0" w:rsidP="004E6AE8">
      <w:pPr>
        <w:pStyle w:val="Heading2"/>
      </w:pPr>
      <w:r w:rsidRPr="008E3BAB">
        <w:t>Standard 4: Qualifications, Selection and Training of Mentors</w:t>
      </w:r>
    </w:p>
    <w:tbl>
      <w:tblPr>
        <w:tblStyle w:val="TableGrid"/>
        <w:tblW w:w="9558" w:type="dxa"/>
        <w:tblLook w:val="00A0" w:firstRow="1" w:lastRow="0" w:firstColumn="1" w:lastColumn="0" w:noHBand="0" w:noVBand="0"/>
      </w:tblPr>
      <w:tblGrid>
        <w:gridCol w:w="2952"/>
        <w:gridCol w:w="4086"/>
        <w:gridCol w:w="2520"/>
      </w:tblGrid>
      <w:tr w:rsidR="00E644A0" w:rsidRPr="00E644A0" w14:paraId="632E9572" w14:textId="77777777" w:rsidTr="008E3BAB">
        <w:trPr>
          <w:cantSplit/>
          <w:tblHeader/>
        </w:trPr>
        <w:tc>
          <w:tcPr>
            <w:tcW w:w="2952" w:type="dxa"/>
            <w:shd w:val="clear" w:color="auto" w:fill="BFBFBF" w:themeFill="background1" w:themeFillShade="BF"/>
          </w:tcPr>
          <w:p w14:paraId="33F6A8DB" w14:textId="77777777" w:rsidR="00E644A0" w:rsidRPr="00E644A0" w:rsidRDefault="00E644A0" w:rsidP="006E0769">
            <w:pPr>
              <w:jc w:val="center"/>
              <w:rPr>
                <w:rFonts w:ascii="Calibri" w:hAnsi="Calibri"/>
                <w:b/>
              </w:rPr>
            </w:pPr>
            <w:r w:rsidRPr="00E644A0">
              <w:rPr>
                <w:rFonts w:ascii="Calibri" w:hAnsi="Calibri"/>
                <w:b/>
              </w:rPr>
              <w:lastRenderedPageBreak/>
              <w:t>Standard Section</w:t>
            </w:r>
          </w:p>
        </w:tc>
        <w:tc>
          <w:tcPr>
            <w:tcW w:w="4086" w:type="dxa"/>
            <w:shd w:val="clear" w:color="auto" w:fill="BFBFBF" w:themeFill="background1" w:themeFillShade="BF"/>
          </w:tcPr>
          <w:p w14:paraId="18B89DD2" w14:textId="77777777" w:rsidR="00E644A0" w:rsidRPr="00E644A0" w:rsidRDefault="00E644A0" w:rsidP="006E0769">
            <w:pPr>
              <w:jc w:val="center"/>
              <w:rPr>
                <w:rFonts w:ascii="Calibri" w:hAnsi="Calibri"/>
                <w:b/>
              </w:rPr>
            </w:pPr>
            <w:r w:rsidRPr="00E644A0">
              <w:rPr>
                <w:rFonts w:ascii="Calibri" w:hAnsi="Calibri"/>
                <w:b/>
              </w:rPr>
              <w:t>Narrative Response</w:t>
            </w:r>
          </w:p>
        </w:tc>
        <w:tc>
          <w:tcPr>
            <w:tcW w:w="2520" w:type="dxa"/>
            <w:shd w:val="clear" w:color="auto" w:fill="BFBFBF" w:themeFill="background1" w:themeFillShade="BF"/>
          </w:tcPr>
          <w:p w14:paraId="7D8B46F8" w14:textId="77777777" w:rsidR="00E644A0" w:rsidRPr="00E644A0" w:rsidRDefault="00E644A0" w:rsidP="006E0769">
            <w:pPr>
              <w:jc w:val="center"/>
              <w:rPr>
                <w:rFonts w:ascii="Calibri" w:hAnsi="Calibri"/>
                <w:b/>
              </w:rPr>
            </w:pPr>
            <w:r w:rsidRPr="00E644A0">
              <w:rPr>
                <w:rFonts w:ascii="Calibri" w:hAnsi="Calibri"/>
                <w:b/>
              </w:rPr>
              <w:t>Documentation (Hyperlink)</w:t>
            </w:r>
          </w:p>
        </w:tc>
      </w:tr>
      <w:tr w:rsidR="00E644A0" w:rsidRPr="00E644A0" w14:paraId="2F9190ED" w14:textId="77777777" w:rsidTr="008E3BAB">
        <w:trPr>
          <w:cantSplit/>
        </w:trPr>
        <w:tc>
          <w:tcPr>
            <w:tcW w:w="2952" w:type="dxa"/>
          </w:tcPr>
          <w:p w14:paraId="0D283246" w14:textId="77777777" w:rsidR="00E644A0" w:rsidRPr="00E644A0" w:rsidRDefault="00E644A0">
            <w:pPr>
              <w:rPr>
                <w:rFonts w:ascii="Calibri" w:hAnsi="Calibri"/>
              </w:rPr>
            </w:pPr>
            <w:r w:rsidRPr="00E644A0">
              <w:rPr>
                <w:rFonts w:ascii="Calibri" w:hAnsi="Calibri"/>
              </w:rPr>
              <w:t>The Induction program assigns qualified mentors and provides guidance and clear expectations for the mentoring experience based on the program’s design.</w:t>
            </w:r>
          </w:p>
        </w:tc>
        <w:tc>
          <w:tcPr>
            <w:tcW w:w="4086" w:type="dxa"/>
          </w:tcPr>
          <w:p w14:paraId="5A1D6492" w14:textId="77777777" w:rsidR="00E644A0" w:rsidRPr="00E644A0" w:rsidRDefault="00E644A0">
            <w:pPr>
              <w:rPr>
                <w:rFonts w:ascii="Calibri" w:hAnsi="Calibri"/>
              </w:rPr>
            </w:pPr>
          </w:p>
        </w:tc>
        <w:tc>
          <w:tcPr>
            <w:tcW w:w="2520" w:type="dxa"/>
          </w:tcPr>
          <w:p w14:paraId="34A81745" w14:textId="77777777" w:rsidR="00E644A0" w:rsidRPr="00E644A0" w:rsidRDefault="00E644A0">
            <w:pPr>
              <w:rPr>
                <w:rFonts w:ascii="Calibri" w:hAnsi="Calibri"/>
              </w:rPr>
            </w:pPr>
          </w:p>
        </w:tc>
      </w:tr>
      <w:tr w:rsidR="00E644A0" w:rsidRPr="00E644A0" w14:paraId="520C3916" w14:textId="77777777" w:rsidTr="008E3BAB">
        <w:trPr>
          <w:cantSplit/>
        </w:trPr>
        <w:tc>
          <w:tcPr>
            <w:tcW w:w="2952" w:type="dxa"/>
          </w:tcPr>
          <w:p w14:paraId="7E71AC49" w14:textId="77777777" w:rsidR="00E644A0" w:rsidRPr="00E644A0" w:rsidRDefault="00E644A0" w:rsidP="00C859C7">
            <w:pPr>
              <w:rPr>
                <w:rFonts w:ascii="Calibri" w:hAnsi="Calibri"/>
              </w:rPr>
            </w:pPr>
            <w:r w:rsidRPr="00E644A0">
              <w:rPr>
                <w:rFonts w:ascii="Calibri" w:hAnsi="Calibri"/>
              </w:rPr>
              <w:t xml:space="preserve">Qualifications for mentors must include but are not limited to: </w:t>
            </w:r>
          </w:p>
          <w:p w14:paraId="69EB64B4" w14:textId="77777777" w:rsidR="00E644A0" w:rsidRPr="00E644A0" w:rsidRDefault="00E644A0" w:rsidP="00C859C7">
            <w:pPr>
              <w:ind w:left="180" w:hanging="180"/>
              <w:rPr>
                <w:rFonts w:ascii="Calibri" w:hAnsi="Calibri"/>
              </w:rPr>
            </w:pPr>
            <w:r w:rsidRPr="00E644A0">
              <w:rPr>
                <w:rFonts w:ascii="Calibri" w:hAnsi="Calibri"/>
              </w:rPr>
              <w:sym w:font="Symbol" w:char="F0B7"/>
            </w:r>
            <w:r w:rsidRPr="00E644A0">
              <w:rPr>
                <w:rFonts w:ascii="Calibri" w:hAnsi="Calibri"/>
              </w:rPr>
              <w:t xml:space="preserve"> Knowledge of the context and the content area of the candidate’s teaching assignment </w:t>
            </w:r>
          </w:p>
          <w:p w14:paraId="068334B8" w14:textId="77777777" w:rsidR="00E644A0" w:rsidRPr="00E644A0" w:rsidRDefault="00E644A0" w:rsidP="00C859C7">
            <w:pPr>
              <w:ind w:left="180" w:hanging="180"/>
              <w:rPr>
                <w:rFonts w:ascii="Calibri" w:hAnsi="Calibri"/>
              </w:rPr>
            </w:pPr>
            <w:r w:rsidRPr="00E644A0">
              <w:rPr>
                <w:rFonts w:ascii="Calibri" w:hAnsi="Calibri"/>
              </w:rPr>
              <w:sym w:font="Symbol" w:char="F0B7"/>
            </w:r>
            <w:r w:rsidR="00C859C7">
              <w:rPr>
                <w:rFonts w:ascii="Calibri" w:hAnsi="Calibri"/>
              </w:rPr>
              <w:t xml:space="preserve"> </w:t>
            </w:r>
            <w:r w:rsidRPr="00E644A0">
              <w:rPr>
                <w:rFonts w:ascii="Calibri" w:hAnsi="Calibri"/>
              </w:rPr>
              <w:t xml:space="preserve">Demonstrated commitment to professional learning and collaboration </w:t>
            </w:r>
          </w:p>
          <w:p w14:paraId="728A3CD3" w14:textId="77777777" w:rsidR="00E644A0" w:rsidRPr="00E644A0" w:rsidRDefault="00E644A0" w:rsidP="00C859C7">
            <w:pPr>
              <w:ind w:left="180" w:hanging="180"/>
              <w:rPr>
                <w:rFonts w:ascii="Calibri" w:hAnsi="Calibri"/>
              </w:rPr>
            </w:pPr>
            <w:r w:rsidRPr="00E644A0">
              <w:rPr>
                <w:rFonts w:ascii="Calibri" w:hAnsi="Calibri"/>
              </w:rPr>
              <w:sym w:font="Symbol" w:char="F0B7"/>
            </w:r>
            <w:r w:rsidRPr="00E644A0">
              <w:rPr>
                <w:rFonts w:ascii="Calibri" w:hAnsi="Calibri"/>
              </w:rPr>
              <w:t xml:space="preserve"> Possession of a Clear Teaching Credential </w:t>
            </w:r>
          </w:p>
          <w:p w14:paraId="3C4C5D85" w14:textId="77777777" w:rsidR="00E644A0" w:rsidRPr="00E644A0" w:rsidRDefault="00E644A0" w:rsidP="00C859C7">
            <w:pPr>
              <w:ind w:left="180" w:hanging="180"/>
              <w:rPr>
                <w:rFonts w:ascii="Calibri" w:hAnsi="Calibri"/>
              </w:rPr>
            </w:pPr>
            <w:r w:rsidRPr="00E644A0">
              <w:rPr>
                <w:rFonts w:ascii="Calibri" w:hAnsi="Calibri"/>
              </w:rPr>
              <w:sym w:font="Symbol" w:char="F0B7"/>
            </w:r>
            <w:r w:rsidRPr="00E644A0">
              <w:rPr>
                <w:rFonts w:ascii="Calibri" w:hAnsi="Calibri"/>
              </w:rPr>
              <w:t xml:space="preserve"> Ability, willingness, and flexibility to meet candidate needs for support </w:t>
            </w:r>
          </w:p>
          <w:p w14:paraId="58AC7C53" w14:textId="77777777" w:rsidR="00E644A0" w:rsidRPr="00E644A0" w:rsidRDefault="00E644A0" w:rsidP="00C859C7">
            <w:pPr>
              <w:ind w:left="180" w:hanging="180"/>
              <w:rPr>
                <w:rFonts w:ascii="Calibri" w:hAnsi="Calibri"/>
              </w:rPr>
            </w:pPr>
            <w:r w:rsidRPr="00E644A0">
              <w:rPr>
                <w:rFonts w:ascii="Calibri" w:hAnsi="Calibri"/>
              </w:rPr>
              <w:sym w:font="Symbol" w:char="F0B7"/>
            </w:r>
            <w:r w:rsidRPr="00E644A0">
              <w:rPr>
                <w:rFonts w:ascii="Calibri" w:hAnsi="Calibri"/>
              </w:rPr>
              <w:t xml:space="preserve"> Minimum of three years of effective teaching experience </w:t>
            </w:r>
          </w:p>
        </w:tc>
        <w:tc>
          <w:tcPr>
            <w:tcW w:w="4086" w:type="dxa"/>
          </w:tcPr>
          <w:p w14:paraId="6C2A6127" w14:textId="77777777" w:rsidR="00E644A0" w:rsidRPr="00E644A0" w:rsidRDefault="00E644A0">
            <w:pPr>
              <w:rPr>
                <w:rFonts w:ascii="Calibri" w:hAnsi="Calibri"/>
              </w:rPr>
            </w:pPr>
          </w:p>
        </w:tc>
        <w:tc>
          <w:tcPr>
            <w:tcW w:w="2520" w:type="dxa"/>
          </w:tcPr>
          <w:p w14:paraId="30DE0FAD" w14:textId="77777777" w:rsidR="00E644A0" w:rsidRPr="00E644A0" w:rsidRDefault="00E644A0">
            <w:pPr>
              <w:rPr>
                <w:rFonts w:ascii="Calibri" w:hAnsi="Calibri"/>
              </w:rPr>
            </w:pPr>
          </w:p>
        </w:tc>
      </w:tr>
      <w:tr w:rsidR="00E644A0" w:rsidRPr="00E644A0" w14:paraId="607E7C6F" w14:textId="77777777" w:rsidTr="008E3BAB">
        <w:trPr>
          <w:cantSplit/>
        </w:trPr>
        <w:tc>
          <w:tcPr>
            <w:tcW w:w="2952" w:type="dxa"/>
          </w:tcPr>
          <w:p w14:paraId="39F6E7A5" w14:textId="77777777" w:rsidR="00E644A0" w:rsidRPr="00E644A0" w:rsidRDefault="00E644A0" w:rsidP="009B3C93">
            <w:pPr>
              <w:rPr>
                <w:rFonts w:ascii="Calibri" w:hAnsi="Calibri"/>
              </w:rPr>
            </w:pPr>
            <w:r w:rsidRPr="00E644A0">
              <w:rPr>
                <w:rFonts w:ascii="Calibri" w:hAnsi="Calibri"/>
              </w:rPr>
              <w:t xml:space="preserve">Guidance and clear expectations for the mentoring experience provided by the program must include but are not limited to:  </w:t>
            </w:r>
          </w:p>
        </w:tc>
        <w:tc>
          <w:tcPr>
            <w:tcW w:w="4086" w:type="dxa"/>
          </w:tcPr>
          <w:p w14:paraId="502178EF" w14:textId="77777777" w:rsidR="00E644A0" w:rsidRPr="00E644A0" w:rsidRDefault="00E644A0">
            <w:pPr>
              <w:rPr>
                <w:rFonts w:ascii="Calibri" w:hAnsi="Calibri"/>
              </w:rPr>
            </w:pPr>
          </w:p>
        </w:tc>
        <w:tc>
          <w:tcPr>
            <w:tcW w:w="2520" w:type="dxa"/>
          </w:tcPr>
          <w:p w14:paraId="2F295A6B" w14:textId="77777777" w:rsidR="00E644A0" w:rsidRPr="00E644A0" w:rsidRDefault="00E644A0">
            <w:pPr>
              <w:rPr>
                <w:rFonts w:ascii="Calibri" w:hAnsi="Calibri"/>
              </w:rPr>
            </w:pPr>
          </w:p>
        </w:tc>
      </w:tr>
      <w:tr w:rsidR="009B3C93" w:rsidRPr="00E644A0" w14:paraId="73B33DAC" w14:textId="77777777" w:rsidTr="008E3BAB">
        <w:trPr>
          <w:cantSplit/>
        </w:trPr>
        <w:tc>
          <w:tcPr>
            <w:tcW w:w="2952" w:type="dxa"/>
          </w:tcPr>
          <w:p w14:paraId="6F7885B0" w14:textId="77777777" w:rsidR="009B3C93" w:rsidRPr="00E644A0" w:rsidRDefault="009B3C93" w:rsidP="009B3C93">
            <w:pPr>
              <w:ind w:left="270" w:hanging="270"/>
              <w:rPr>
                <w:rFonts w:ascii="Calibri" w:hAnsi="Calibri"/>
              </w:rPr>
            </w:pPr>
            <w:r w:rsidRPr="00E644A0">
              <w:rPr>
                <w:rFonts w:ascii="Calibri" w:hAnsi="Calibri"/>
              </w:rPr>
              <w:sym w:font="Symbol" w:char="F0B7"/>
            </w:r>
            <w:r w:rsidRPr="00E644A0">
              <w:rPr>
                <w:rFonts w:ascii="Calibri" w:hAnsi="Calibri"/>
              </w:rPr>
              <w:t xml:space="preserve"> Providing “just in time” support for candidates, in accordance with the ILP, along with longer-term guidance to promote enduring professional skills </w:t>
            </w:r>
          </w:p>
        </w:tc>
        <w:tc>
          <w:tcPr>
            <w:tcW w:w="4086" w:type="dxa"/>
          </w:tcPr>
          <w:p w14:paraId="7DADA932" w14:textId="77777777" w:rsidR="009B3C93" w:rsidRPr="00E644A0" w:rsidRDefault="009B3C93">
            <w:pPr>
              <w:rPr>
                <w:rFonts w:ascii="Calibri" w:hAnsi="Calibri"/>
              </w:rPr>
            </w:pPr>
          </w:p>
        </w:tc>
        <w:tc>
          <w:tcPr>
            <w:tcW w:w="2520" w:type="dxa"/>
          </w:tcPr>
          <w:p w14:paraId="0A40D189" w14:textId="77777777" w:rsidR="009B3C93" w:rsidRPr="00E644A0" w:rsidRDefault="009B3C93">
            <w:pPr>
              <w:rPr>
                <w:rFonts w:ascii="Calibri" w:hAnsi="Calibri"/>
              </w:rPr>
            </w:pPr>
          </w:p>
        </w:tc>
      </w:tr>
      <w:tr w:rsidR="009B3C93" w:rsidRPr="00E644A0" w14:paraId="21DA1EAB" w14:textId="77777777" w:rsidTr="008E3BAB">
        <w:trPr>
          <w:cantSplit/>
        </w:trPr>
        <w:tc>
          <w:tcPr>
            <w:tcW w:w="2952" w:type="dxa"/>
          </w:tcPr>
          <w:p w14:paraId="3E51E592" w14:textId="77777777" w:rsidR="009B3C93" w:rsidRPr="00E644A0" w:rsidRDefault="009B3C93" w:rsidP="009B3C93">
            <w:pPr>
              <w:ind w:left="270" w:hanging="270"/>
              <w:rPr>
                <w:rFonts w:ascii="Calibri" w:hAnsi="Calibri"/>
              </w:rPr>
            </w:pPr>
            <w:r w:rsidRPr="00E644A0">
              <w:rPr>
                <w:rFonts w:ascii="Calibri" w:hAnsi="Calibri"/>
              </w:rPr>
              <w:lastRenderedPageBreak/>
              <w:sym w:font="Symbol" w:char="F0B7"/>
            </w:r>
            <w:r w:rsidRPr="00E644A0">
              <w:rPr>
                <w:rFonts w:ascii="Calibri" w:hAnsi="Calibri"/>
              </w:rPr>
              <w:t xml:space="preserve"> Facilitation of candidate growth and development through modeling, guided reflection on practice, and feedback on classroom instruction </w:t>
            </w:r>
          </w:p>
        </w:tc>
        <w:tc>
          <w:tcPr>
            <w:tcW w:w="4086" w:type="dxa"/>
          </w:tcPr>
          <w:p w14:paraId="66E0F611" w14:textId="77777777" w:rsidR="009B3C93" w:rsidRPr="00E644A0" w:rsidRDefault="009B3C93">
            <w:pPr>
              <w:rPr>
                <w:rFonts w:ascii="Calibri" w:hAnsi="Calibri"/>
              </w:rPr>
            </w:pPr>
          </w:p>
        </w:tc>
        <w:tc>
          <w:tcPr>
            <w:tcW w:w="2520" w:type="dxa"/>
          </w:tcPr>
          <w:p w14:paraId="5F4CD6D2" w14:textId="77777777" w:rsidR="009B3C93" w:rsidRPr="00E644A0" w:rsidRDefault="009B3C93">
            <w:pPr>
              <w:rPr>
                <w:rFonts w:ascii="Calibri" w:hAnsi="Calibri"/>
              </w:rPr>
            </w:pPr>
          </w:p>
        </w:tc>
      </w:tr>
      <w:tr w:rsidR="009B3C93" w:rsidRPr="00E644A0" w14:paraId="325BF63A" w14:textId="77777777" w:rsidTr="008E3BAB">
        <w:trPr>
          <w:cantSplit/>
        </w:trPr>
        <w:tc>
          <w:tcPr>
            <w:tcW w:w="2952" w:type="dxa"/>
          </w:tcPr>
          <w:p w14:paraId="47D73A92" w14:textId="77777777" w:rsidR="009B3C93" w:rsidRPr="00E644A0" w:rsidRDefault="009B3C93" w:rsidP="009B3C93">
            <w:pPr>
              <w:ind w:left="270" w:hanging="270"/>
              <w:rPr>
                <w:rFonts w:ascii="Calibri" w:hAnsi="Calibri"/>
              </w:rPr>
            </w:pPr>
            <w:r w:rsidRPr="00E644A0">
              <w:rPr>
                <w:rFonts w:ascii="Calibri" w:hAnsi="Calibri"/>
              </w:rPr>
              <w:sym w:font="Symbol" w:char="F0B7"/>
            </w:r>
            <w:r w:rsidRPr="00E644A0">
              <w:rPr>
                <w:rFonts w:ascii="Calibri" w:hAnsi="Calibri"/>
              </w:rPr>
              <w:t xml:space="preserve"> Connecting candidates with available resources to support their professional growth and accomplishment of the ILP </w:t>
            </w:r>
          </w:p>
        </w:tc>
        <w:tc>
          <w:tcPr>
            <w:tcW w:w="4086" w:type="dxa"/>
          </w:tcPr>
          <w:p w14:paraId="26EED293" w14:textId="77777777" w:rsidR="009B3C93" w:rsidRPr="00E644A0" w:rsidRDefault="009B3C93">
            <w:pPr>
              <w:rPr>
                <w:rFonts w:ascii="Calibri" w:hAnsi="Calibri"/>
              </w:rPr>
            </w:pPr>
          </w:p>
        </w:tc>
        <w:tc>
          <w:tcPr>
            <w:tcW w:w="2520" w:type="dxa"/>
          </w:tcPr>
          <w:p w14:paraId="33111B95" w14:textId="77777777" w:rsidR="009B3C93" w:rsidRPr="00E644A0" w:rsidRDefault="009B3C93">
            <w:pPr>
              <w:rPr>
                <w:rFonts w:ascii="Calibri" w:hAnsi="Calibri"/>
              </w:rPr>
            </w:pPr>
          </w:p>
        </w:tc>
      </w:tr>
      <w:tr w:rsidR="009B3C93" w:rsidRPr="00E644A0" w14:paraId="46A9E5F5" w14:textId="77777777" w:rsidTr="008E3BAB">
        <w:trPr>
          <w:cantSplit/>
        </w:trPr>
        <w:tc>
          <w:tcPr>
            <w:tcW w:w="2952" w:type="dxa"/>
          </w:tcPr>
          <w:p w14:paraId="0D01D369" w14:textId="77777777" w:rsidR="009B3C93" w:rsidRPr="00E644A0" w:rsidRDefault="009B3C93" w:rsidP="009B3C93">
            <w:pPr>
              <w:ind w:left="270" w:hanging="270"/>
              <w:rPr>
                <w:rFonts w:ascii="Calibri" w:hAnsi="Calibri"/>
              </w:rPr>
            </w:pPr>
            <w:r w:rsidRPr="00E644A0">
              <w:rPr>
                <w:rFonts w:ascii="Calibri" w:hAnsi="Calibri"/>
              </w:rPr>
              <w:sym w:font="Symbol" w:char="F0B7"/>
            </w:r>
            <w:r w:rsidRPr="00E644A0">
              <w:rPr>
                <w:rFonts w:ascii="Calibri" w:hAnsi="Calibri"/>
              </w:rPr>
              <w:t xml:space="preserve"> Periodically reviewing the ILP with candidates and making adjustments as needed</w:t>
            </w:r>
          </w:p>
        </w:tc>
        <w:tc>
          <w:tcPr>
            <w:tcW w:w="4086" w:type="dxa"/>
          </w:tcPr>
          <w:p w14:paraId="1A18096F" w14:textId="77777777" w:rsidR="009B3C93" w:rsidRPr="00E644A0" w:rsidRDefault="009B3C93">
            <w:pPr>
              <w:rPr>
                <w:rFonts w:ascii="Calibri" w:hAnsi="Calibri"/>
              </w:rPr>
            </w:pPr>
          </w:p>
        </w:tc>
        <w:tc>
          <w:tcPr>
            <w:tcW w:w="2520" w:type="dxa"/>
          </w:tcPr>
          <w:p w14:paraId="272EBA32" w14:textId="77777777" w:rsidR="009B3C93" w:rsidRPr="00E644A0" w:rsidRDefault="009B3C93">
            <w:pPr>
              <w:rPr>
                <w:rFonts w:ascii="Calibri" w:hAnsi="Calibri"/>
              </w:rPr>
            </w:pPr>
          </w:p>
        </w:tc>
      </w:tr>
      <w:tr w:rsidR="00E644A0" w:rsidRPr="00E644A0" w14:paraId="20E83276" w14:textId="77777777" w:rsidTr="008E3BAB">
        <w:trPr>
          <w:cantSplit/>
        </w:trPr>
        <w:tc>
          <w:tcPr>
            <w:tcW w:w="2952" w:type="dxa"/>
          </w:tcPr>
          <w:p w14:paraId="7EE7C104" w14:textId="77777777" w:rsidR="00E644A0" w:rsidRPr="00E644A0" w:rsidRDefault="00E644A0" w:rsidP="009B3C93">
            <w:pPr>
              <w:rPr>
                <w:rFonts w:ascii="Calibri" w:hAnsi="Calibri"/>
              </w:rPr>
            </w:pPr>
            <w:r w:rsidRPr="00E644A0">
              <w:rPr>
                <w:rFonts w:ascii="Calibri" w:hAnsi="Calibri"/>
              </w:rPr>
              <w:t xml:space="preserve">The program must provide ongoing training and support for mentors that includes, but is not limited to: </w:t>
            </w:r>
          </w:p>
        </w:tc>
        <w:tc>
          <w:tcPr>
            <w:tcW w:w="4086" w:type="dxa"/>
          </w:tcPr>
          <w:p w14:paraId="1BE4AE91" w14:textId="77777777" w:rsidR="00E644A0" w:rsidRPr="00E644A0" w:rsidRDefault="00E644A0">
            <w:pPr>
              <w:rPr>
                <w:rFonts w:ascii="Calibri" w:hAnsi="Calibri"/>
              </w:rPr>
            </w:pPr>
          </w:p>
        </w:tc>
        <w:tc>
          <w:tcPr>
            <w:tcW w:w="2520" w:type="dxa"/>
          </w:tcPr>
          <w:p w14:paraId="2F09AABF" w14:textId="77777777" w:rsidR="00E644A0" w:rsidRPr="00E644A0" w:rsidRDefault="00E644A0">
            <w:pPr>
              <w:rPr>
                <w:rFonts w:ascii="Calibri" w:hAnsi="Calibri"/>
              </w:rPr>
            </w:pPr>
          </w:p>
        </w:tc>
      </w:tr>
      <w:tr w:rsidR="009B3C93" w:rsidRPr="00E644A0" w14:paraId="5A7E90E0" w14:textId="77777777" w:rsidTr="008E3BAB">
        <w:trPr>
          <w:cantSplit/>
        </w:trPr>
        <w:tc>
          <w:tcPr>
            <w:tcW w:w="2952" w:type="dxa"/>
          </w:tcPr>
          <w:p w14:paraId="06E4A0E1" w14:textId="77777777" w:rsidR="009B3C93" w:rsidRPr="00E644A0" w:rsidRDefault="009B3C93" w:rsidP="009B3C93">
            <w:pPr>
              <w:ind w:left="180" w:hanging="180"/>
              <w:rPr>
                <w:rFonts w:ascii="Calibri" w:hAnsi="Calibri"/>
              </w:rPr>
            </w:pPr>
            <w:r w:rsidRPr="00E644A0">
              <w:rPr>
                <w:rFonts w:ascii="Calibri" w:hAnsi="Calibri"/>
              </w:rPr>
              <w:sym w:font="Symbol" w:char="F0B7"/>
            </w:r>
            <w:r w:rsidRPr="00E644A0">
              <w:rPr>
                <w:rFonts w:ascii="Calibri" w:hAnsi="Calibri"/>
              </w:rPr>
              <w:t xml:space="preserve"> Coaching and mentoring </w:t>
            </w:r>
          </w:p>
        </w:tc>
        <w:tc>
          <w:tcPr>
            <w:tcW w:w="4086" w:type="dxa"/>
          </w:tcPr>
          <w:p w14:paraId="0BFC7A35" w14:textId="77777777" w:rsidR="009B3C93" w:rsidRPr="00E644A0" w:rsidRDefault="009B3C93">
            <w:pPr>
              <w:rPr>
                <w:rFonts w:ascii="Calibri" w:hAnsi="Calibri"/>
              </w:rPr>
            </w:pPr>
          </w:p>
        </w:tc>
        <w:tc>
          <w:tcPr>
            <w:tcW w:w="2520" w:type="dxa"/>
          </w:tcPr>
          <w:p w14:paraId="6FE90C02" w14:textId="77777777" w:rsidR="009B3C93" w:rsidRPr="00E644A0" w:rsidRDefault="009B3C93">
            <w:pPr>
              <w:rPr>
                <w:rFonts w:ascii="Calibri" w:hAnsi="Calibri"/>
              </w:rPr>
            </w:pPr>
          </w:p>
        </w:tc>
      </w:tr>
      <w:tr w:rsidR="009B3C93" w:rsidRPr="00E644A0" w14:paraId="135E8DF7" w14:textId="77777777" w:rsidTr="008E3BAB">
        <w:trPr>
          <w:cantSplit/>
        </w:trPr>
        <w:tc>
          <w:tcPr>
            <w:tcW w:w="2952" w:type="dxa"/>
          </w:tcPr>
          <w:p w14:paraId="4488CDCC" w14:textId="77777777" w:rsidR="009B3C93" w:rsidRPr="00E644A0" w:rsidRDefault="009B3C93" w:rsidP="009B3C93">
            <w:pPr>
              <w:ind w:left="180" w:hanging="180"/>
              <w:rPr>
                <w:rFonts w:ascii="Calibri" w:hAnsi="Calibri"/>
              </w:rPr>
            </w:pPr>
            <w:r w:rsidRPr="00E644A0">
              <w:rPr>
                <w:rFonts w:ascii="Calibri" w:hAnsi="Calibri"/>
              </w:rPr>
              <w:sym w:font="Symbol" w:char="F0B7"/>
            </w:r>
            <w:r w:rsidRPr="00E644A0">
              <w:rPr>
                <w:rFonts w:ascii="Calibri" w:hAnsi="Calibri"/>
              </w:rPr>
              <w:t xml:space="preserve"> Goal setting </w:t>
            </w:r>
          </w:p>
        </w:tc>
        <w:tc>
          <w:tcPr>
            <w:tcW w:w="4086" w:type="dxa"/>
          </w:tcPr>
          <w:p w14:paraId="4F4BDE94" w14:textId="77777777" w:rsidR="009B3C93" w:rsidRPr="00E644A0" w:rsidRDefault="009B3C93">
            <w:pPr>
              <w:rPr>
                <w:rFonts w:ascii="Calibri" w:hAnsi="Calibri"/>
              </w:rPr>
            </w:pPr>
          </w:p>
        </w:tc>
        <w:tc>
          <w:tcPr>
            <w:tcW w:w="2520" w:type="dxa"/>
          </w:tcPr>
          <w:p w14:paraId="2CA6BAF2" w14:textId="77777777" w:rsidR="009B3C93" w:rsidRPr="00E644A0" w:rsidRDefault="009B3C93">
            <w:pPr>
              <w:rPr>
                <w:rFonts w:ascii="Calibri" w:hAnsi="Calibri"/>
              </w:rPr>
            </w:pPr>
          </w:p>
        </w:tc>
      </w:tr>
      <w:tr w:rsidR="009B3C93" w:rsidRPr="00E644A0" w14:paraId="4C9D06D9" w14:textId="77777777" w:rsidTr="008E3BAB">
        <w:trPr>
          <w:cantSplit/>
        </w:trPr>
        <w:tc>
          <w:tcPr>
            <w:tcW w:w="2952" w:type="dxa"/>
          </w:tcPr>
          <w:p w14:paraId="2D78EB1D" w14:textId="77777777" w:rsidR="009B3C93" w:rsidRPr="00E644A0" w:rsidRDefault="009B3C93" w:rsidP="009B3C93">
            <w:pPr>
              <w:ind w:left="180" w:hanging="180"/>
              <w:rPr>
                <w:rFonts w:ascii="Calibri" w:hAnsi="Calibri"/>
              </w:rPr>
            </w:pPr>
            <w:r w:rsidRPr="00E644A0">
              <w:rPr>
                <w:rFonts w:ascii="Calibri" w:hAnsi="Calibri"/>
              </w:rPr>
              <w:sym w:font="Symbol" w:char="F0B7"/>
            </w:r>
            <w:r>
              <w:rPr>
                <w:rFonts w:ascii="Calibri" w:hAnsi="Calibri"/>
              </w:rPr>
              <w:t xml:space="preserve"> </w:t>
            </w:r>
            <w:r w:rsidRPr="00E644A0">
              <w:rPr>
                <w:rFonts w:ascii="Calibri" w:hAnsi="Calibri"/>
              </w:rPr>
              <w:t xml:space="preserve">Use of appropriate mentoring instruments </w:t>
            </w:r>
          </w:p>
        </w:tc>
        <w:tc>
          <w:tcPr>
            <w:tcW w:w="4086" w:type="dxa"/>
          </w:tcPr>
          <w:p w14:paraId="12E07BB9" w14:textId="77777777" w:rsidR="009B3C93" w:rsidRPr="00E644A0" w:rsidRDefault="009B3C93">
            <w:pPr>
              <w:rPr>
                <w:rFonts w:ascii="Calibri" w:hAnsi="Calibri"/>
              </w:rPr>
            </w:pPr>
          </w:p>
        </w:tc>
        <w:tc>
          <w:tcPr>
            <w:tcW w:w="2520" w:type="dxa"/>
          </w:tcPr>
          <w:p w14:paraId="48F726EC" w14:textId="77777777" w:rsidR="009B3C93" w:rsidRPr="00E644A0" w:rsidRDefault="009B3C93">
            <w:pPr>
              <w:rPr>
                <w:rFonts w:ascii="Calibri" w:hAnsi="Calibri"/>
              </w:rPr>
            </w:pPr>
          </w:p>
        </w:tc>
      </w:tr>
      <w:tr w:rsidR="009B3C93" w:rsidRPr="00E644A0" w14:paraId="0E524DFC" w14:textId="77777777" w:rsidTr="008E3BAB">
        <w:trPr>
          <w:cantSplit/>
        </w:trPr>
        <w:tc>
          <w:tcPr>
            <w:tcW w:w="2952" w:type="dxa"/>
          </w:tcPr>
          <w:p w14:paraId="3F1C87E0" w14:textId="77777777" w:rsidR="009B3C93" w:rsidRPr="00E644A0" w:rsidRDefault="009B3C93" w:rsidP="009B3C93">
            <w:pPr>
              <w:ind w:left="180" w:hanging="180"/>
              <w:rPr>
                <w:rFonts w:ascii="Calibri" w:hAnsi="Calibri"/>
              </w:rPr>
            </w:pPr>
            <w:r w:rsidRPr="00E644A0">
              <w:rPr>
                <w:rFonts w:ascii="Calibri" w:hAnsi="Calibri"/>
              </w:rPr>
              <w:sym w:font="Symbol" w:char="F0B7"/>
            </w:r>
            <w:r w:rsidRPr="00E644A0">
              <w:rPr>
                <w:rFonts w:ascii="Calibri" w:hAnsi="Calibri"/>
              </w:rPr>
              <w:t xml:space="preserve"> Best practices in adult learning </w:t>
            </w:r>
          </w:p>
        </w:tc>
        <w:tc>
          <w:tcPr>
            <w:tcW w:w="4086" w:type="dxa"/>
          </w:tcPr>
          <w:p w14:paraId="44957C6F" w14:textId="77777777" w:rsidR="009B3C93" w:rsidRPr="00E644A0" w:rsidRDefault="009B3C93">
            <w:pPr>
              <w:rPr>
                <w:rFonts w:ascii="Calibri" w:hAnsi="Calibri"/>
              </w:rPr>
            </w:pPr>
          </w:p>
        </w:tc>
        <w:tc>
          <w:tcPr>
            <w:tcW w:w="2520" w:type="dxa"/>
          </w:tcPr>
          <w:p w14:paraId="35D382EB" w14:textId="77777777" w:rsidR="009B3C93" w:rsidRPr="00E644A0" w:rsidRDefault="009B3C93">
            <w:pPr>
              <w:rPr>
                <w:rFonts w:ascii="Calibri" w:hAnsi="Calibri"/>
              </w:rPr>
            </w:pPr>
          </w:p>
        </w:tc>
      </w:tr>
      <w:tr w:rsidR="009B3C93" w:rsidRPr="00E644A0" w14:paraId="74C59082" w14:textId="77777777" w:rsidTr="008E3BAB">
        <w:trPr>
          <w:cantSplit/>
        </w:trPr>
        <w:tc>
          <w:tcPr>
            <w:tcW w:w="2952" w:type="dxa"/>
          </w:tcPr>
          <w:p w14:paraId="06868382" w14:textId="77777777" w:rsidR="009B3C93" w:rsidRPr="00E644A0" w:rsidRDefault="009B3C93" w:rsidP="009B3C93">
            <w:pPr>
              <w:rPr>
                <w:rFonts w:ascii="Calibri" w:hAnsi="Calibri"/>
              </w:rPr>
            </w:pPr>
            <w:r w:rsidRPr="00E644A0">
              <w:rPr>
                <w:rFonts w:ascii="Calibri" w:hAnsi="Calibri"/>
              </w:rPr>
              <w:sym w:font="Symbol" w:char="F0B7"/>
            </w:r>
            <w:r w:rsidRPr="00E644A0">
              <w:rPr>
                <w:rFonts w:ascii="Calibri" w:hAnsi="Calibri"/>
              </w:rPr>
              <w:t xml:space="preserve"> Support for individual mentoring challenges, reflection on mentoring practice, and opportunities to engage with mentoring peers in professional learning networks</w:t>
            </w:r>
          </w:p>
        </w:tc>
        <w:tc>
          <w:tcPr>
            <w:tcW w:w="4086" w:type="dxa"/>
          </w:tcPr>
          <w:p w14:paraId="716FC639" w14:textId="77777777" w:rsidR="009B3C93" w:rsidRPr="00E644A0" w:rsidRDefault="009B3C93">
            <w:pPr>
              <w:rPr>
                <w:rFonts w:ascii="Calibri" w:hAnsi="Calibri"/>
              </w:rPr>
            </w:pPr>
          </w:p>
        </w:tc>
        <w:tc>
          <w:tcPr>
            <w:tcW w:w="2520" w:type="dxa"/>
          </w:tcPr>
          <w:p w14:paraId="68147B28" w14:textId="77777777" w:rsidR="009B3C93" w:rsidRPr="00E644A0" w:rsidRDefault="009B3C93">
            <w:pPr>
              <w:rPr>
                <w:rFonts w:ascii="Calibri" w:hAnsi="Calibri"/>
              </w:rPr>
            </w:pPr>
          </w:p>
        </w:tc>
      </w:tr>
      <w:tr w:rsidR="009B3C93" w:rsidRPr="00E644A0" w14:paraId="1B15AF47" w14:textId="77777777" w:rsidTr="008E3BAB">
        <w:trPr>
          <w:cantSplit/>
        </w:trPr>
        <w:tc>
          <w:tcPr>
            <w:tcW w:w="2952" w:type="dxa"/>
          </w:tcPr>
          <w:p w14:paraId="5A45C968" w14:textId="77777777" w:rsidR="009B3C93" w:rsidRPr="00E644A0" w:rsidRDefault="009B3C93" w:rsidP="009B3C93">
            <w:pPr>
              <w:rPr>
                <w:rFonts w:ascii="Calibri" w:hAnsi="Calibri"/>
              </w:rPr>
            </w:pPr>
            <w:r w:rsidRPr="00E644A0">
              <w:rPr>
                <w:rFonts w:ascii="Calibri" w:hAnsi="Calibri"/>
              </w:rPr>
              <w:sym w:font="Symbol" w:char="F0B7"/>
            </w:r>
            <w:r w:rsidRPr="00E644A0">
              <w:rPr>
                <w:rFonts w:ascii="Calibri" w:hAnsi="Calibri"/>
              </w:rPr>
              <w:t xml:space="preserve"> Program processes designed to support candidate growth and effectiveness</w:t>
            </w:r>
          </w:p>
        </w:tc>
        <w:tc>
          <w:tcPr>
            <w:tcW w:w="4086" w:type="dxa"/>
          </w:tcPr>
          <w:p w14:paraId="424C7020" w14:textId="77777777" w:rsidR="009B3C93" w:rsidRPr="00E644A0" w:rsidRDefault="009B3C93">
            <w:pPr>
              <w:rPr>
                <w:rFonts w:ascii="Calibri" w:hAnsi="Calibri"/>
              </w:rPr>
            </w:pPr>
          </w:p>
        </w:tc>
        <w:tc>
          <w:tcPr>
            <w:tcW w:w="2520" w:type="dxa"/>
          </w:tcPr>
          <w:p w14:paraId="09765132" w14:textId="77777777" w:rsidR="009B3C93" w:rsidRPr="00E644A0" w:rsidRDefault="009B3C93">
            <w:pPr>
              <w:rPr>
                <w:rFonts w:ascii="Calibri" w:hAnsi="Calibri"/>
              </w:rPr>
            </w:pPr>
          </w:p>
        </w:tc>
      </w:tr>
    </w:tbl>
    <w:p w14:paraId="29F1EE8B" w14:textId="77777777" w:rsidR="00E644A0" w:rsidRPr="00E644A0" w:rsidRDefault="00E644A0">
      <w:pPr>
        <w:rPr>
          <w:rFonts w:ascii="Calibri" w:hAnsi="Calibri"/>
        </w:rPr>
      </w:pPr>
    </w:p>
    <w:p w14:paraId="4159035E" w14:textId="77777777" w:rsidR="009B3C93" w:rsidRDefault="009B3C93" w:rsidP="00E644A0">
      <w:pPr>
        <w:jc w:val="center"/>
        <w:rPr>
          <w:rFonts w:ascii="Calibri" w:hAnsi="Calibri"/>
          <w:b/>
        </w:rPr>
      </w:pPr>
    </w:p>
    <w:p w14:paraId="11064811" w14:textId="197016B2" w:rsidR="00E644A0" w:rsidRPr="008E3BAB" w:rsidRDefault="00E644A0" w:rsidP="004E6AE8">
      <w:pPr>
        <w:pStyle w:val="Heading2"/>
      </w:pPr>
      <w:r w:rsidRPr="008E3BAB">
        <w:lastRenderedPageBreak/>
        <w:t xml:space="preserve">Standard 5: Determining Candidate Competence </w:t>
      </w:r>
      <w:proofErr w:type="gramStart"/>
      <w:r w:rsidRPr="008E3BAB">
        <w:t xml:space="preserve">for </w:t>
      </w:r>
      <w:r w:rsidR="004E6AE8">
        <w:t xml:space="preserve"> </w:t>
      </w:r>
      <w:r w:rsidRPr="008E3BAB">
        <w:t>the</w:t>
      </w:r>
      <w:proofErr w:type="gramEnd"/>
      <w:r w:rsidRPr="008E3BAB">
        <w:t xml:space="preserve"> Clear Credential Recommendation</w:t>
      </w:r>
    </w:p>
    <w:tbl>
      <w:tblPr>
        <w:tblStyle w:val="TableGrid"/>
        <w:tblW w:w="9558" w:type="dxa"/>
        <w:tblLook w:val="00A0" w:firstRow="1" w:lastRow="0" w:firstColumn="1" w:lastColumn="0" w:noHBand="0" w:noVBand="0"/>
      </w:tblPr>
      <w:tblGrid>
        <w:gridCol w:w="2952"/>
        <w:gridCol w:w="4086"/>
        <w:gridCol w:w="2520"/>
      </w:tblGrid>
      <w:tr w:rsidR="008E3BAB" w:rsidRPr="00E644A0" w14:paraId="356C1DCB" w14:textId="77777777" w:rsidTr="008E3BAB">
        <w:trPr>
          <w:cantSplit/>
          <w:tblHeader/>
        </w:trPr>
        <w:tc>
          <w:tcPr>
            <w:tcW w:w="2952" w:type="dxa"/>
            <w:shd w:val="clear" w:color="auto" w:fill="BFBFBF" w:themeFill="background1" w:themeFillShade="BF"/>
          </w:tcPr>
          <w:p w14:paraId="2D49DEA2" w14:textId="77777777" w:rsidR="008E3BAB" w:rsidRPr="00E644A0" w:rsidRDefault="008E3BAB" w:rsidP="00A044D5">
            <w:pPr>
              <w:jc w:val="center"/>
              <w:rPr>
                <w:rFonts w:ascii="Calibri" w:hAnsi="Calibri"/>
                <w:b/>
              </w:rPr>
            </w:pPr>
            <w:r w:rsidRPr="00E644A0">
              <w:rPr>
                <w:rFonts w:ascii="Calibri" w:hAnsi="Calibri"/>
                <w:b/>
              </w:rPr>
              <w:t>Standard Section</w:t>
            </w:r>
          </w:p>
        </w:tc>
        <w:tc>
          <w:tcPr>
            <w:tcW w:w="4086" w:type="dxa"/>
            <w:shd w:val="clear" w:color="auto" w:fill="BFBFBF" w:themeFill="background1" w:themeFillShade="BF"/>
          </w:tcPr>
          <w:p w14:paraId="05EEBB15" w14:textId="77777777" w:rsidR="008E3BAB" w:rsidRPr="00E644A0" w:rsidRDefault="008E3BAB" w:rsidP="00A044D5">
            <w:pPr>
              <w:jc w:val="center"/>
              <w:rPr>
                <w:rFonts w:ascii="Calibri" w:hAnsi="Calibri"/>
                <w:b/>
              </w:rPr>
            </w:pPr>
            <w:r w:rsidRPr="00E644A0">
              <w:rPr>
                <w:rFonts w:ascii="Calibri" w:hAnsi="Calibri"/>
                <w:b/>
              </w:rPr>
              <w:t>Narrative Response</w:t>
            </w:r>
          </w:p>
        </w:tc>
        <w:tc>
          <w:tcPr>
            <w:tcW w:w="2520" w:type="dxa"/>
            <w:shd w:val="clear" w:color="auto" w:fill="BFBFBF" w:themeFill="background1" w:themeFillShade="BF"/>
          </w:tcPr>
          <w:p w14:paraId="328BBA05" w14:textId="77777777" w:rsidR="008E3BAB" w:rsidRPr="00E644A0" w:rsidRDefault="008E3BAB" w:rsidP="00A044D5">
            <w:pPr>
              <w:jc w:val="center"/>
              <w:rPr>
                <w:rFonts w:ascii="Calibri" w:hAnsi="Calibri"/>
                <w:b/>
              </w:rPr>
            </w:pPr>
            <w:r w:rsidRPr="00E644A0">
              <w:rPr>
                <w:rFonts w:ascii="Calibri" w:hAnsi="Calibri"/>
                <w:b/>
              </w:rPr>
              <w:t>Documentation (Hyperlink)</w:t>
            </w:r>
          </w:p>
        </w:tc>
      </w:tr>
      <w:tr w:rsidR="008E3BAB" w:rsidRPr="00C859C7" w14:paraId="26857C5F" w14:textId="77777777" w:rsidTr="008E3BAB">
        <w:trPr>
          <w:cantSplit/>
        </w:trPr>
        <w:tc>
          <w:tcPr>
            <w:tcW w:w="2952" w:type="dxa"/>
          </w:tcPr>
          <w:p w14:paraId="3907688D" w14:textId="77777777" w:rsidR="008E3BAB" w:rsidRPr="00C859C7" w:rsidRDefault="008E3BAB" w:rsidP="008E3BAB">
            <w:pPr>
              <w:rPr>
                <w:rFonts w:ascii="Calibri" w:hAnsi="Calibri"/>
              </w:rPr>
            </w:pPr>
            <w:r w:rsidRPr="00C859C7">
              <w:rPr>
                <w:rFonts w:ascii="Calibri" w:hAnsi="Calibri"/>
              </w:rPr>
              <w:t xml:space="preserve">The Induction program must assess candidate progress towards mastery of the </w:t>
            </w:r>
            <w:r w:rsidRPr="00C859C7">
              <w:rPr>
                <w:rFonts w:ascii="Calibri" w:hAnsi="Calibri"/>
                <w:i/>
              </w:rPr>
              <w:t>California Standards for the Teaching Profession</w:t>
            </w:r>
            <w:r w:rsidRPr="00C859C7">
              <w:rPr>
                <w:rFonts w:ascii="Calibri" w:hAnsi="Calibri"/>
              </w:rPr>
              <w:t xml:space="preserve"> to support the recommendation for the clear credential.</w:t>
            </w:r>
          </w:p>
        </w:tc>
        <w:tc>
          <w:tcPr>
            <w:tcW w:w="4086" w:type="dxa"/>
          </w:tcPr>
          <w:p w14:paraId="6C42C1C9" w14:textId="77777777" w:rsidR="008E3BAB" w:rsidRPr="00C859C7" w:rsidRDefault="008E3BAB" w:rsidP="008E3BAB">
            <w:pPr>
              <w:rPr>
                <w:rFonts w:ascii="Calibri" w:hAnsi="Calibri"/>
              </w:rPr>
            </w:pPr>
          </w:p>
        </w:tc>
        <w:tc>
          <w:tcPr>
            <w:tcW w:w="2520" w:type="dxa"/>
          </w:tcPr>
          <w:p w14:paraId="581130AF" w14:textId="77777777" w:rsidR="008E3BAB" w:rsidRPr="00C859C7" w:rsidRDefault="008E3BAB" w:rsidP="008E3BAB">
            <w:pPr>
              <w:rPr>
                <w:rFonts w:ascii="Calibri" w:hAnsi="Calibri"/>
              </w:rPr>
            </w:pPr>
          </w:p>
        </w:tc>
      </w:tr>
      <w:tr w:rsidR="008E3BAB" w:rsidRPr="00C859C7" w14:paraId="6E65298C" w14:textId="77777777" w:rsidTr="008E3BAB">
        <w:trPr>
          <w:cantSplit/>
        </w:trPr>
        <w:tc>
          <w:tcPr>
            <w:tcW w:w="2952" w:type="dxa"/>
          </w:tcPr>
          <w:p w14:paraId="6A011756" w14:textId="77777777" w:rsidR="008E3BAB" w:rsidRPr="00C859C7" w:rsidRDefault="008E3BAB" w:rsidP="008E3BAB">
            <w:pPr>
              <w:rPr>
                <w:rFonts w:ascii="Calibri" w:hAnsi="Calibri"/>
              </w:rPr>
            </w:pPr>
            <w:r w:rsidRPr="00C859C7">
              <w:rPr>
                <w:rFonts w:ascii="Calibri" w:hAnsi="Calibri"/>
              </w:rPr>
              <w:t xml:space="preserve">The documentation of candidate progress must reflect the learning and professional growth goals indicated within the Individualized Learning Plan and evidence of the candidate’s successful completion of the activities outlined in the ILP. </w:t>
            </w:r>
          </w:p>
        </w:tc>
        <w:tc>
          <w:tcPr>
            <w:tcW w:w="4086" w:type="dxa"/>
          </w:tcPr>
          <w:p w14:paraId="46E91B61" w14:textId="77777777" w:rsidR="008E3BAB" w:rsidRPr="00C859C7" w:rsidRDefault="008E3BAB" w:rsidP="008E3BAB">
            <w:pPr>
              <w:rPr>
                <w:rFonts w:ascii="Calibri" w:hAnsi="Calibri"/>
              </w:rPr>
            </w:pPr>
          </w:p>
        </w:tc>
        <w:tc>
          <w:tcPr>
            <w:tcW w:w="2520" w:type="dxa"/>
          </w:tcPr>
          <w:p w14:paraId="77CC299B" w14:textId="77777777" w:rsidR="008E3BAB" w:rsidRPr="00C859C7" w:rsidRDefault="008E3BAB" w:rsidP="008E3BAB">
            <w:pPr>
              <w:rPr>
                <w:rFonts w:ascii="Calibri" w:hAnsi="Calibri"/>
              </w:rPr>
            </w:pPr>
          </w:p>
        </w:tc>
      </w:tr>
      <w:tr w:rsidR="008E3BAB" w:rsidRPr="00C859C7" w14:paraId="5434332F" w14:textId="77777777" w:rsidTr="008E3BAB">
        <w:trPr>
          <w:cantSplit/>
        </w:trPr>
        <w:tc>
          <w:tcPr>
            <w:tcW w:w="2952" w:type="dxa"/>
          </w:tcPr>
          <w:p w14:paraId="39F7E502" w14:textId="77777777" w:rsidR="008E3BAB" w:rsidRPr="00C859C7" w:rsidRDefault="008E3BAB" w:rsidP="008E3BAB">
            <w:pPr>
              <w:rPr>
                <w:rFonts w:ascii="Calibri" w:hAnsi="Calibri"/>
              </w:rPr>
            </w:pPr>
            <w:r w:rsidRPr="00C859C7">
              <w:rPr>
                <w:rFonts w:ascii="Calibri" w:hAnsi="Calibri"/>
              </w:rPr>
              <w:t>Prior to recommending a candidate for a Clear Credential, the Induction program sponsor must verify that the candidate has satisfactorily completed all program activities and requirements, and that the program has documented the basis on which the recommendation for the clear credential is made.</w:t>
            </w:r>
          </w:p>
        </w:tc>
        <w:tc>
          <w:tcPr>
            <w:tcW w:w="4086" w:type="dxa"/>
          </w:tcPr>
          <w:p w14:paraId="76194F05" w14:textId="77777777" w:rsidR="008E3BAB" w:rsidRPr="00C859C7" w:rsidRDefault="008E3BAB" w:rsidP="008E3BAB">
            <w:pPr>
              <w:rPr>
                <w:rFonts w:ascii="Calibri" w:hAnsi="Calibri"/>
              </w:rPr>
            </w:pPr>
          </w:p>
        </w:tc>
        <w:tc>
          <w:tcPr>
            <w:tcW w:w="2520" w:type="dxa"/>
          </w:tcPr>
          <w:p w14:paraId="43F97617" w14:textId="77777777" w:rsidR="008E3BAB" w:rsidRPr="00C859C7" w:rsidRDefault="008E3BAB" w:rsidP="008E3BAB">
            <w:pPr>
              <w:rPr>
                <w:rFonts w:ascii="Calibri" w:hAnsi="Calibri"/>
              </w:rPr>
            </w:pPr>
          </w:p>
        </w:tc>
      </w:tr>
      <w:tr w:rsidR="008E3BAB" w:rsidRPr="00C859C7" w14:paraId="068CB3AC" w14:textId="77777777" w:rsidTr="008E3BAB">
        <w:trPr>
          <w:cantSplit/>
        </w:trPr>
        <w:tc>
          <w:tcPr>
            <w:tcW w:w="2952" w:type="dxa"/>
          </w:tcPr>
          <w:p w14:paraId="719C8250" w14:textId="77777777" w:rsidR="008E3BAB" w:rsidRPr="00C859C7" w:rsidRDefault="008E3BAB" w:rsidP="008E3BAB">
            <w:pPr>
              <w:rPr>
                <w:rFonts w:ascii="Calibri" w:hAnsi="Calibri"/>
              </w:rPr>
            </w:pPr>
            <w:r w:rsidRPr="00C859C7">
              <w:rPr>
                <w:rFonts w:ascii="Calibri" w:hAnsi="Calibri"/>
              </w:rPr>
              <w:t>The program sponsor’s verification must be based on a review of observed and documented evidence, collaboratively assembled by the candidate, the mentor and/or other colleagues, according to the program’s design.</w:t>
            </w:r>
          </w:p>
        </w:tc>
        <w:tc>
          <w:tcPr>
            <w:tcW w:w="4086" w:type="dxa"/>
          </w:tcPr>
          <w:p w14:paraId="1C403B04" w14:textId="77777777" w:rsidR="008E3BAB" w:rsidRPr="00C859C7" w:rsidRDefault="008E3BAB" w:rsidP="008E3BAB">
            <w:pPr>
              <w:rPr>
                <w:rFonts w:ascii="Calibri" w:hAnsi="Calibri"/>
              </w:rPr>
            </w:pPr>
          </w:p>
        </w:tc>
        <w:tc>
          <w:tcPr>
            <w:tcW w:w="2520" w:type="dxa"/>
          </w:tcPr>
          <w:p w14:paraId="6724B6FB" w14:textId="77777777" w:rsidR="008E3BAB" w:rsidRPr="00C859C7" w:rsidRDefault="008E3BAB" w:rsidP="008E3BAB">
            <w:pPr>
              <w:rPr>
                <w:rFonts w:ascii="Calibri" w:hAnsi="Calibri"/>
              </w:rPr>
            </w:pPr>
          </w:p>
        </w:tc>
      </w:tr>
      <w:tr w:rsidR="008E3BAB" w:rsidRPr="00E644A0" w14:paraId="53C77884" w14:textId="77777777" w:rsidTr="008E3BAB">
        <w:trPr>
          <w:cantSplit/>
        </w:trPr>
        <w:tc>
          <w:tcPr>
            <w:tcW w:w="2952" w:type="dxa"/>
          </w:tcPr>
          <w:p w14:paraId="5ED583F5" w14:textId="77777777" w:rsidR="008E3BAB" w:rsidRPr="00E644A0" w:rsidRDefault="008E3BAB" w:rsidP="008E3BAB">
            <w:pPr>
              <w:rPr>
                <w:rFonts w:ascii="Calibri" w:hAnsi="Calibri"/>
              </w:rPr>
            </w:pPr>
            <w:r w:rsidRPr="00C859C7">
              <w:rPr>
                <w:rFonts w:ascii="Calibri" w:hAnsi="Calibri"/>
              </w:rPr>
              <w:lastRenderedPageBreak/>
              <w:t>The Induction program’s recommendation verification process must include a defensible process of reviewing documentation, a written appeal process for candidates, and a procedure for candidates to repeat portions of the program, as needed.</w:t>
            </w:r>
            <w:r w:rsidRPr="00E644A0">
              <w:rPr>
                <w:rFonts w:ascii="Calibri" w:hAnsi="Calibri"/>
              </w:rPr>
              <w:t xml:space="preserve"> </w:t>
            </w:r>
          </w:p>
        </w:tc>
        <w:tc>
          <w:tcPr>
            <w:tcW w:w="4086" w:type="dxa"/>
          </w:tcPr>
          <w:p w14:paraId="403429DE" w14:textId="77777777" w:rsidR="008E3BAB" w:rsidRPr="00E644A0" w:rsidRDefault="008E3BAB" w:rsidP="008E3BAB">
            <w:pPr>
              <w:rPr>
                <w:rFonts w:ascii="Calibri" w:hAnsi="Calibri"/>
              </w:rPr>
            </w:pPr>
          </w:p>
        </w:tc>
        <w:tc>
          <w:tcPr>
            <w:tcW w:w="2520" w:type="dxa"/>
          </w:tcPr>
          <w:p w14:paraId="2C36F7A6" w14:textId="77777777" w:rsidR="008E3BAB" w:rsidRPr="00E644A0" w:rsidRDefault="008E3BAB" w:rsidP="008E3BAB">
            <w:pPr>
              <w:rPr>
                <w:rFonts w:ascii="Calibri" w:hAnsi="Calibri"/>
              </w:rPr>
            </w:pPr>
          </w:p>
        </w:tc>
      </w:tr>
    </w:tbl>
    <w:p w14:paraId="60E77501" w14:textId="77777777" w:rsidR="00E644A0" w:rsidRPr="008E3BAB" w:rsidRDefault="00E644A0" w:rsidP="004E6AE8">
      <w:pPr>
        <w:pStyle w:val="Heading2"/>
      </w:pPr>
      <w:r w:rsidRPr="008E3BAB">
        <w:t>Standard 6: Program Responsibilities for Assuring Quality of Program Services</w:t>
      </w:r>
    </w:p>
    <w:tbl>
      <w:tblPr>
        <w:tblStyle w:val="TableGrid"/>
        <w:tblW w:w="9558" w:type="dxa"/>
        <w:tblLook w:val="00A0" w:firstRow="1" w:lastRow="0" w:firstColumn="1" w:lastColumn="0" w:noHBand="0" w:noVBand="0"/>
      </w:tblPr>
      <w:tblGrid>
        <w:gridCol w:w="2952"/>
        <w:gridCol w:w="4086"/>
        <w:gridCol w:w="2520"/>
      </w:tblGrid>
      <w:tr w:rsidR="00C859C7" w:rsidRPr="00E644A0" w14:paraId="645A4FCF" w14:textId="77777777" w:rsidTr="008E3BAB">
        <w:trPr>
          <w:cantSplit/>
          <w:tblHeader/>
        </w:trPr>
        <w:tc>
          <w:tcPr>
            <w:tcW w:w="2952" w:type="dxa"/>
            <w:shd w:val="clear" w:color="auto" w:fill="BFBFBF" w:themeFill="background1" w:themeFillShade="BF"/>
          </w:tcPr>
          <w:p w14:paraId="2A808673" w14:textId="77777777" w:rsidR="00C859C7" w:rsidRPr="00E644A0" w:rsidRDefault="00C859C7" w:rsidP="006E0769">
            <w:pPr>
              <w:jc w:val="center"/>
              <w:rPr>
                <w:rFonts w:ascii="Calibri" w:hAnsi="Calibri"/>
                <w:b/>
              </w:rPr>
            </w:pPr>
            <w:bookmarkStart w:id="0" w:name="_Hlk59531651"/>
            <w:r w:rsidRPr="00E644A0">
              <w:rPr>
                <w:rFonts w:ascii="Calibri" w:hAnsi="Calibri"/>
                <w:b/>
              </w:rPr>
              <w:t>Standard Section</w:t>
            </w:r>
          </w:p>
        </w:tc>
        <w:tc>
          <w:tcPr>
            <w:tcW w:w="4086" w:type="dxa"/>
            <w:shd w:val="clear" w:color="auto" w:fill="BFBFBF" w:themeFill="background1" w:themeFillShade="BF"/>
          </w:tcPr>
          <w:p w14:paraId="1FB2B083" w14:textId="77777777" w:rsidR="00C859C7" w:rsidRPr="00E644A0" w:rsidRDefault="00C859C7" w:rsidP="006E0769">
            <w:pPr>
              <w:jc w:val="center"/>
              <w:rPr>
                <w:rFonts w:ascii="Calibri" w:hAnsi="Calibri"/>
                <w:b/>
              </w:rPr>
            </w:pPr>
            <w:r w:rsidRPr="00E644A0">
              <w:rPr>
                <w:rFonts w:ascii="Calibri" w:hAnsi="Calibri"/>
                <w:b/>
              </w:rPr>
              <w:t>Narrative Response</w:t>
            </w:r>
          </w:p>
        </w:tc>
        <w:tc>
          <w:tcPr>
            <w:tcW w:w="2520" w:type="dxa"/>
            <w:shd w:val="clear" w:color="auto" w:fill="BFBFBF" w:themeFill="background1" w:themeFillShade="BF"/>
          </w:tcPr>
          <w:p w14:paraId="252A570D" w14:textId="77777777" w:rsidR="00C859C7" w:rsidRPr="00E644A0" w:rsidRDefault="00C859C7" w:rsidP="006E0769">
            <w:pPr>
              <w:jc w:val="center"/>
              <w:rPr>
                <w:rFonts w:ascii="Calibri" w:hAnsi="Calibri"/>
                <w:b/>
              </w:rPr>
            </w:pPr>
            <w:r w:rsidRPr="00E644A0">
              <w:rPr>
                <w:rFonts w:ascii="Calibri" w:hAnsi="Calibri"/>
                <w:b/>
              </w:rPr>
              <w:t>Documentation (Hyperlink)</w:t>
            </w:r>
          </w:p>
        </w:tc>
      </w:tr>
      <w:bookmarkEnd w:id="0"/>
      <w:tr w:rsidR="00C859C7" w:rsidRPr="00C859C7" w14:paraId="72A31B49" w14:textId="77777777" w:rsidTr="008E3BAB">
        <w:trPr>
          <w:cantSplit/>
        </w:trPr>
        <w:tc>
          <w:tcPr>
            <w:tcW w:w="2952" w:type="dxa"/>
          </w:tcPr>
          <w:p w14:paraId="77B499FA" w14:textId="77777777" w:rsidR="00C859C7" w:rsidRPr="00C859C7" w:rsidRDefault="00C859C7">
            <w:pPr>
              <w:rPr>
                <w:rFonts w:ascii="Calibri" w:hAnsi="Calibri"/>
              </w:rPr>
            </w:pPr>
            <w:r w:rsidRPr="00C859C7">
              <w:rPr>
                <w:rFonts w:ascii="Calibri" w:hAnsi="Calibri"/>
              </w:rPr>
              <w:t>The program must regularly assess the quality of services provided by mentors to candidates, using criteria that include candidate feedback, the quality and perceived effectiveness of support provided to candidates in implementing their Individualized Learning Plan, and the opportunity to complete the full range of program requirements</w:t>
            </w:r>
          </w:p>
        </w:tc>
        <w:tc>
          <w:tcPr>
            <w:tcW w:w="4086" w:type="dxa"/>
          </w:tcPr>
          <w:p w14:paraId="66840D98" w14:textId="77777777" w:rsidR="00C859C7" w:rsidRPr="00C859C7" w:rsidRDefault="00C859C7">
            <w:pPr>
              <w:rPr>
                <w:rFonts w:ascii="Calibri" w:hAnsi="Calibri"/>
              </w:rPr>
            </w:pPr>
          </w:p>
        </w:tc>
        <w:tc>
          <w:tcPr>
            <w:tcW w:w="2520" w:type="dxa"/>
          </w:tcPr>
          <w:p w14:paraId="730A7122" w14:textId="77777777" w:rsidR="00C859C7" w:rsidRPr="00C859C7" w:rsidRDefault="00C859C7">
            <w:pPr>
              <w:rPr>
                <w:rFonts w:ascii="Calibri" w:hAnsi="Calibri"/>
              </w:rPr>
            </w:pPr>
          </w:p>
        </w:tc>
      </w:tr>
      <w:tr w:rsidR="00C859C7" w:rsidRPr="00C859C7" w14:paraId="0D30C23F" w14:textId="77777777" w:rsidTr="008E3BAB">
        <w:trPr>
          <w:cantSplit/>
        </w:trPr>
        <w:tc>
          <w:tcPr>
            <w:tcW w:w="2952" w:type="dxa"/>
          </w:tcPr>
          <w:p w14:paraId="765ABC1F" w14:textId="77777777" w:rsidR="00C859C7" w:rsidRPr="00C859C7" w:rsidRDefault="00C859C7">
            <w:pPr>
              <w:rPr>
                <w:rFonts w:ascii="Calibri" w:hAnsi="Calibri"/>
              </w:rPr>
            </w:pPr>
            <w:r w:rsidRPr="00C859C7">
              <w:rPr>
                <w:rFonts w:ascii="Calibri" w:hAnsi="Calibri"/>
              </w:rPr>
              <w:t>Induction program leaders must provide formative feedback to mentors on their work, including establishment of collaborative relationships</w:t>
            </w:r>
          </w:p>
        </w:tc>
        <w:tc>
          <w:tcPr>
            <w:tcW w:w="4086" w:type="dxa"/>
          </w:tcPr>
          <w:p w14:paraId="11EFF42A" w14:textId="77777777" w:rsidR="00C859C7" w:rsidRPr="00C859C7" w:rsidRDefault="00C859C7">
            <w:pPr>
              <w:rPr>
                <w:rFonts w:ascii="Calibri" w:hAnsi="Calibri"/>
              </w:rPr>
            </w:pPr>
          </w:p>
        </w:tc>
        <w:tc>
          <w:tcPr>
            <w:tcW w:w="2520" w:type="dxa"/>
          </w:tcPr>
          <w:p w14:paraId="3D76AF52" w14:textId="77777777" w:rsidR="00C859C7" w:rsidRPr="00C859C7" w:rsidRDefault="00C859C7">
            <w:pPr>
              <w:rPr>
                <w:rFonts w:ascii="Calibri" w:hAnsi="Calibri"/>
              </w:rPr>
            </w:pPr>
          </w:p>
        </w:tc>
      </w:tr>
      <w:tr w:rsidR="00C859C7" w:rsidRPr="00C859C7" w14:paraId="3E969555" w14:textId="77777777" w:rsidTr="008E3BAB">
        <w:trPr>
          <w:cantSplit/>
        </w:trPr>
        <w:tc>
          <w:tcPr>
            <w:tcW w:w="2952" w:type="dxa"/>
          </w:tcPr>
          <w:p w14:paraId="22989C1E" w14:textId="77777777" w:rsidR="00C859C7" w:rsidRPr="00C859C7" w:rsidRDefault="00C859C7" w:rsidP="00C859C7">
            <w:pPr>
              <w:rPr>
                <w:rFonts w:ascii="Calibri" w:hAnsi="Calibri"/>
              </w:rPr>
            </w:pPr>
            <w:r w:rsidRPr="00C859C7">
              <w:rPr>
                <w:rFonts w:ascii="Calibri" w:hAnsi="Calibri"/>
              </w:rPr>
              <w:t>Clear procedures must be in place for the reassignment of mentors, if the pairing of candidate and mentor is not effective.</w:t>
            </w:r>
          </w:p>
        </w:tc>
        <w:tc>
          <w:tcPr>
            <w:tcW w:w="4086" w:type="dxa"/>
          </w:tcPr>
          <w:p w14:paraId="53A9EB56" w14:textId="77777777" w:rsidR="00C859C7" w:rsidRPr="00C859C7" w:rsidRDefault="00C859C7">
            <w:pPr>
              <w:rPr>
                <w:rFonts w:ascii="Calibri" w:hAnsi="Calibri"/>
              </w:rPr>
            </w:pPr>
          </w:p>
        </w:tc>
        <w:tc>
          <w:tcPr>
            <w:tcW w:w="2520" w:type="dxa"/>
          </w:tcPr>
          <w:p w14:paraId="38B6242D" w14:textId="77777777" w:rsidR="00C859C7" w:rsidRPr="00C859C7" w:rsidRDefault="00C859C7">
            <w:pPr>
              <w:rPr>
                <w:rFonts w:ascii="Calibri" w:hAnsi="Calibri"/>
              </w:rPr>
            </w:pPr>
          </w:p>
        </w:tc>
      </w:tr>
      <w:tr w:rsidR="00C859C7" w:rsidRPr="00E644A0" w14:paraId="10FD9A58" w14:textId="77777777" w:rsidTr="008E3BAB">
        <w:trPr>
          <w:cantSplit/>
        </w:trPr>
        <w:tc>
          <w:tcPr>
            <w:tcW w:w="2952" w:type="dxa"/>
          </w:tcPr>
          <w:p w14:paraId="31EBC68E" w14:textId="77777777" w:rsidR="00C859C7" w:rsidRPr="00E644A0" w:rsidRDefault="00C859C7" w:rsidP="00C859C7">
            <w:pPr>
              <w:rPr>
                <w:rFonts w:ascii="Calibri" w:hAnsi="Calibri"/>
              </w:rPr>
            </w:pPr>
            <w:r w:rsidRPr="00C859C7">
              <w:rPr>
                <w:rFonts w:ascii="Calibri" w:hAnsi="Calibri"/>
              </w:rPr>
              <w:lastRenderedPageBreak/>
              <w:t>The program must provide a coherent overall system of support through the collaboration, communication and coordination between candidates, mentors, school and district administrators, and all members of the Induction system.</w:t>
            </w:r>
          </w:p>
        </w:tc>
        <w:tc>
          <w:tcPr>
            <w:tcW w:w="4086" w:type="dxa"/>
          </w:tcPr>
          <w:p w14:paraId="3D2D05E9" w14:textId="77777777" w:rsidR="00C859C7" w:rsidRPr="00E644A0" w:rsidRDefault="00C859C7">
            <w:pPr>
              <w:rPr>
                <w:rFonts w:ascii="Calibri" w:hAnsi="Calibri"/>
              </w:rPr>
            </w:pPr>
          </w:p>
        </w:tc>
        <w:tc>
          <w:tcPr>
            <w:tcW w:w="2520" w:type="dxa"/>
          </w:tcPr>
          <w:p w14:paraId="03488AB3" w14:textId="77777777" w:rsidR="00C859C7" w:rsidRPr="00E644A0" w:rsidRDefault="00C859C7">
            <w:pPr>
              <w:rPr>
                <w:rFonts w:ascii="Calibri" w:hAnsi="Calibri"/>
              </w:rPr>
            </w:pPr>
          </w:p>
        </w:tc>
      </w:tr>
    </w:tbl>
    <w:p w14:paraId="6C16E6FA" w14:textId="77777777" w:rsidR="00273C1E" w:rsidRPr="00E644A0" w:rsidRDefault="00273C1E">
      <w:pPr>
        <w:rPr>
          <w:rFonts w:ascii="Calibri" w:hAnsi="Calibri"/>
        </w:rPr>
      </w:pPr>
    </w:p>
    <w:sectPr w:rsidR="00273C1E" w:rsidRPr="00E644A0" w:rsidSect="00273C1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6BFD5" w14:textId="77777777" w:rsidR="0038756B" w:rsidRDefault="0038756B">
      <w:r>
        <w:separator/>
      </w:r>
    </w:p>
  </w:endnote>
  <w:endnote w:type="continuationSeparator" w:id="0">
    <w:p w14:paraId="5C9AC110" w14:textId="77777777" w:rsidR="0038756B" w:rsidRDefault="0038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FB9FC" w14:textId="77777777" w:rsidR="0038756B" w:rsidRDefault="0038756B">
      <w:r>
        <w:separator/>
      </w:r>
    </w:p>
  </w:footnote>
  <w:footnote w:type="continuationSeparator" w:id="0">
    <w:p w14:paraId="6B0FE74A" w14:textId="77777777" w:rsidR="0038756B" w:rsidRDefault="00387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1E"/>
    <w:rsid w:val="00042310"/>
    <w:rsid w:val="00273C1E"/>
    <w:rsid w:val="002B3123"/>
    <w:rsid w:val="0038756B"/>
    <w:rsid w:val="00427A57"/>
    <w:rsid w:val="004341B2"/>
    <w:rsid w:val="004E6AE8"/>
    <w:rsid w:val="006B7579"/>
    <w:rsid w:val="006E0769"/>
    <w:rsid w:val="008E3BAB"/>
    <w:rsid w:val="00943637"/>
    <w:rsid w:val="00974F95"/>
    <w:rsid w:val="009B3C93"/>
    <w:rsid w:val="00B53E51"/>
    <w:rsid w:val="00C859C7"/>
    <w:rsid w:val="00D75D43"/>
    <w:rsid w:val="00D86324"/>
    <w:rsid w:val="00E055AD"/>
    <w:rsid w:val="00E524EF"/>
    <w:rsid w:val="00E644A0"/>
    <w:rsid w:val="00E96D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0BEABF"/>
  <w15:docId w15:val="{1BE6AE34-6E8B-4834-9DCD-584CDD25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80"/>
    <w:rPr>
      <w:rFonts w:ascii="Tahoma" w:hAnsi="Tahoma"/>
      <w:sz w:val="24"/>
      <w:szCs w:val="24"/>
    </w:rPr>
  </w:style>
  <w:style w:type="paragraph" w:styleId="Heading1">
    <w:name w:val="heading 1"/>
    <w:basedOn w:val="Header"/>
    <w:next w:val="Normal"/>
    <w:link w:val="Heading1Char"/>
    <w:autoRedefine/>
    <w:uiPriority w:val="9"/>
    <w:qFormat/>
    <w:rsid w:val="008E3BAB"/>
    <w:pPr>
      <w:jc w:val="center"/>
      <w:outlineLvl w:val="0"/>
    </w:pPr>
    <w:rPr>
      <w:rFonts w:ascii="Calibri" w:hAnsi="Calibri"/>
      <w:b/>
      <w:sz w:val="28"/>
    </w:rPr>
  </w:style>
  <w:style w:type="paragraph" w:styleId="Heading2">
    <w:name w:val="heading 2"/>
    <w:basedOn w:val="Normal"/>
    <w:next w:val="Normal"/>
    <w:link w:val="Heading2Char"/>
    <w:autoRedefine/>
    <w:uiPriority w:val="9"/>
    <w:unhideWhenUsed/>
    <w:qFormat/>
    <w:rsid w:val="00042310"/>
    <w:pPr>
      <w:spacing w:before="120" w:after="12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C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73C1E"/>
    <w:pPr>
      <w:tabs>
        <w:tab w:val="center" w:pos="4320"/>
        <w:tab w:val="right" w:pos="8640"/>
      </w:tabs>
    </w:pPr>
  </w:style>
  <w:style w:type="character" w:customStyle="1" w:styleId="HeaderChar">
    <w:name w:val="Header Char"/>
    <w:basedOn w:val="DefaultParagraphFont"/>
    <w:link w:val="Header"/>
    <w:uiPriority w:val="99"/>
    <w:rsid w:val="00273C1E"/>
    <w:rPr>
      <w:rFonts w:ascii="Tahoma" w:hAnsi="Tahoma"/>
      <w:sz w:val="24"/>
      <w:szCs w:val="24"/>
    </w:rPr>
  </w:style>
  <w:style w:type="paragraph" w:styleId="Footer">
    <w:name w:val="footer"/>
    <w:basedOn w:val="Normal"/>
    <w:link w:val="FooterChar"/>
    <w:uiPriority w:val="99"/>
    <w:unhideWhenUsed/>
    <w:rsid w:val="00273C1E"/>
    <w:pPr>
      <w:tabs>
        <w:tab w:val="center" w:pos="4320"/>
        <w:tab w:val="right" w:pos="8640"/>
      </w:tabs>
    </w:pPr>
  </w:style>
  <w:style w:type="character" w:customStyle="1" w:styleId="FooterChar">
    <w:name w:val="Footer Char"/>
    <w:basedOn w:val="DefaultParagraphFont"/>
    <w:link w:val="Footer"/>
    <w:uiPriority w:val="99"/>
    <w:rsid w:val="00273C1E"/>
    <w:rPr>
      <w:rFonts w:ascii="Tahoma" w:hAnsi="Tahoma"/>
      <w:sz w:val="24"/>
      <w:szCs w:val="24"/>
    </w:rPr>
  </w:style>
  <w:style w:type="character" w:customStyle="1" w:styleId="Heading1Char">
    <w:name w:val="Heading 1 Char"/>
    <w:basedOn w:val="DefaultParagraphFont"/>
    <w:link w:val="Heading1"/>
    <w:uiPriority w:val="9"/>
    <w:rsid w:val="008E3BAB"/>
    <w:rPr>
      <w:rFonts w:ascii="Calibri" w:hAnsi="Calibri"/>
      <w:b/>
      <w:sz w:val="28"/>
      <w:szCs w:val="24"/>
    </w:rPr>
  </w:style>
  <w:style w:type="character" w:customStyle="1" w:styleId="Heading2Char">
    <w:name w:val="Heading 2 Char"/>
    <w:basedOn w:val="DefaultParagraphFont"/>
    <w:link w:val="Heading2"/>
    <w:uiPriority w:val="9"/>
    <w:rsid w:val="00042310"/>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Induction Program Standards</dc:title>
  <dc:subject/>
  <dc:creator>Gay Roby</dc:creator>
  <cp:keywords/>
  <cp:lastModifiedBy>Hu, Brendan</cp:lastModifiedBy>
  <cp:revision>5</cp:revision>
  <dcterms:created xsi:type="dcterms:W3CDTF">2020-11-18T18:28:00Z</dcterms:created>
  <dcterms:modified xsi:type="dcterms:W3CDTF">2020-12-23T16:16:00Z</dcterms:modified>
</cp:coreProperties>
</file>