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EAEE2" w14:textId="77777777" w:rsidR="00C73005" w:rsidRPr="00B34575" w:rsidRDefault="00AE41A0" w:rsidP="001339DD">
      <w:pPr>
        <w:spacing w:before="720" w:after="480"/>
        <w:jc w:val="center"/>
        <w:rPr>
          <w:rFonts w:asciiTheme="minorHAnsi" w:hAnsiTheme="minorHAnsi" w:cstheme="minorHAnsi"/>
          <w:b/>
          <w:sz w:val="28"/>
          <w:szCs w:val="28"/>
        </w:rPr>
      </w:pPr>
      <w:r w:rsidRPr="00B34575">
        <w:rPr>
          <w:rFonts w:asciiTheme="minorHAnsi" w:hAnsiTheme="minorHAnsi" w:cstheme="minorHAnsi"/>
          <w:noProof/>
          <w:sz w:val="28"/>
          <w:szCs w:val="28"/>
        </w:rPr>
        <w:drawing>
          <wp:inline distT="0" distB="0" distL="0" distR="0" wp14:anchorId="20B6AAA2" wp14:editId="520E6905">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2C27FEE0" w14:textId="0E060257" w:rsidR="0021200E" w:rsidRPr="00B34575" w:rsidRDefault="0021200E" w:rsidP="00DE337E">
      <w:pPr>
        <w:pStyle w:val="Heading1"/>
      </w:pPr>
      <w:bookmarkStart w:id="0" w:name="_Toc21603891"/>
      <w:bookmarkStart w:id="1" w:name="_Toc21603964"/>
      <w:bookmarkStart w:id="2" w:name="_Toc21604089"/>
      <w:bookmarkStart w:id="3" w:name="_Toc21604224"/>
      <w:bookmarkStart w:id="4" w:name="_Toc21604403"/>
      <w:bookmarkStart w:id="5" w:name="_Toc21604652"/>
      <w:bookmarkStart w:id="6" w:name="_Toc21604703"/>
      <w:bookmarkStart w:id="7" w:name="_Toc21604780"/>
      <w:bookmarkStart w:id="8" w:name="_Toc40878540"/>
      <w:bookmarkStart w:id="9" w:name="_Toc178259249"/>
      <w:r w:rsidRPr="00B34575">
        <w:t>Pupil Personnel Services</w:t>
      </w:r>
      <w:r w:rsidR="007E5E80" w:rsidRPr="00B34575">
        <w:t>:</w:t>
      </w:r>
      <w:r w:rsidRPr="00B34575">
        <w:t xml:space="preserve"> </w:t>
      </w:r>
      <w:r w:rsidR="00275995" w:rsidRPr="00B34575">
        <w:t>Child Welfare and Attendance Added Authorization</w:t>
      </w:r>
      <w:r w:rsidRPr="00B34575">
        <w:t xml:space="preserve"> </w:t>
      </w:r>
      <w:r w:rsidR="00C73005" w:rsidRPr="00B34575">
        <w:br/>
      </w:r>
      <w:r w:rsidR="001339DD" w:rsidRPr="00B34575">
        <w:t xml:space="preserve">Preconditions, </w:t>
      </w:r>
      <w:r w:rsidRPr="00B34575">
        <w:t>Program Standards</w:t>
      </w:r>
      <w:r w:rsidR="001339DD" w:rsidRPr="00B34575">
        <w:t xml:space="preserve">, </w:t>
      </w:r>
      <w:r w:rsidR="00EC7A46" w:rsidRPr="00B34575">
        <w:t xml:space="preserve">and </w:t>
      </w:r>
      <w:r w:rsidR="00C73005" w:rsidRPr="00B34575">
        <w:br/>
      </w:r>
      <w:r w:rsidR="00EC7A46" w:rsidRPr="00B34575">
        <w:t>Performance Expectations</w:t>
      </w:r>
      <w:bookmarkEnd w:id="0"/>
      <w:bookmarkEnd w:id="1"/>
      <w:bookmarkEnd w:id="2"/>
      <w:bookmarkEnd w:id="3"/>
      <w:bookmarkEnd w:id="4"/>
      <w:bookmarkEnd w:id="5"/>
      <w:bookmarkEnd w:id="6"/>
      <w:bookmarkEnd w:id="7"/>
      <w:bookmarkEnd w:id="8"/>
      <w:bookmarkEnd w:id="9"/>
    </w:p>
    <w:p w14:paraId="1569AAFF" w14:textId="77777777" w:rsidR="0021200E" w:rsidRPr="008F1802" w:rsidRDefault="0021200E" w:rsidP="763F0BF3">
      <w:pPr>
        <w:spacing w:before="600" w:after="600"/>
        <w:jc w:val="center"/>
        <w:rPr>
          <w:rFonts w:asciiTheme="minorHAnsi" w:hAnsiTheme="minorHAnsi" w:cstheme="minorBidi"/>
          <w:b/>
          <w:bCs/>
          <w:sz w:val="28"/>
          <w:szCs w:val="28"/>
          <w:lang w:val="en"/>
        </w:rPr>
      </w:pPr>
      <w:r w:rsidRPr="763F0BF3">
        <w:rPr>
          <w:rFonts w:asciiTheme="minorHAnsi" w:hAnsiTheme="minorHAnsi" w:cstheme="minorBidi"/>
          <w:b/>
          <w:bCs/>
          <w:sz w:val="28"/>
          <w:szCs w:val="28"/>
        </w:rPr>
        <w:t>Commission on Teacher Credentialing</w:t>
      </w:r>
    </w:p>
    <w:p w14:paraId="11D1C764" w14:textId="77777777" w:rsidR="00317791" w:rsidRPr="008F1802" w:rsidRDefault="00317791" w:rsidP="00A67394">
      <w:pPr>
        <w:rPr>
          <w:rFonts w:asciiTheme="minorHAnsi" w:hAnsiTheme="minorHAnsi" w:cstheme="minorHAnsi"/>
          <w:lang w:val="en"/>
        </w:rPr>
      </w:pPr>
    </w:p>
    <w:p w14:paraId="37DAF722" w14:textId="3F616D63" w:rsidR="00317791" w:rsidRPr="008F1802" w:rsidRDefault="00ED46D5" w:rsidP="763F0BF3">
      <w:pPr>
        <w:spacing w:before="3000"/>
        <w:jc w:val="center"/>
        <w:rPr>
          <w:rFonts w:asciiTheme="minorHAnsi" w:hAnsiTheme="minorHAnsi" w:cstheme="minorBidi"/>
          <w:b/>
          <w:bCs/>
          <w:i/>
          <w:iCs/>
          <w:sz w:val="28"/>
          <w:szCs w:val="28"/>
          <w:lang w:val="en"/>
        </w:rPr>
        <w:sectPr w:rsidR="00317791" w:rsidRPr="008F1802" w:rsidSect="00A67394">
          <w:headerReference w:type="default" r:id="rId12"/>
          <w:footerReference w:type="even" r:id="rId13"/>
          <w:footerReference w:type="default" r:id="rId14"/>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docGrid w:linePitch="360"/>
        </w:sectPr>
      </w:pPr>
      <w:r w:rsidRPr="763F0BF3">
        <w:rPr>
          <w:rFonts w:asciiTheme="minorHAnsi" w:hAnsiTheme="minorHAnsi" w:cstheme="minorBidi"/>
          <w:b/>
          <w:bCs/>
          <w:i/>
          <w:iCs/>
          <w:sz w:val="28"/>
          <w:szCs w:val="28"/>
          <w:lang w:val="en"/>
        </w:rPr>
        <w:t>Published</w:t>
      </w:r>
      <w:r w:rsidR="00317791" w:rsidRPr="763F0BF3">
        <w:rPr>
          <w:rFonts w:asciiTheme="minorHAnsi" w:hAnsiTheme="minorHAnsi" w:cstheme="minorBidi"/>
          <w:b/>
          <w:bCs/>
          <w:i/>
          <w:iCs/>
          <w:sz w:val="28"/>
          <w:szCs w:val="28"/>
          <w:lang w:val="en"/>
        </w:rPr>
        <w:t xml:space="preserve"> </w:t>
      </w:r>
      <w:r w:rsidR="00275995" w:rsidRPr="763F0BF3">
        <w:rPr>
          <w:rFonts w:asciiTheme="minorHAnsi" w:hAnsiTheme="minorHAnsi" w:cstheme="minorBidi"/>
          <w:b/>
          <w:bCs/>
          <w:i/>
          <w:iCs/>
          <w:sz w:val="28"/>
          <w:szCs w:val="28"/>
          <w:lang w:val="en"/>
        </w:rPr>
        <w:t>September</w:t>
      </w:r>
      <w:r w:rsidR="004931D5" w:rsidRPr="763F0BF3">
        <w:rPr>
          <w:rFonts w:asciiTheme="minorHAnsi" w:hAnsiTheme="minorHAnsi" w:cstheme="minorBidi"/>
          <w:b/>
          <w:bCs/>
          <w:i/>
          <w:iCs/>
          <w:sz w:val="28"/>
          <w:szCs w:val="28"/>
          <w:lang w:val="en"/>
        </w:rPr>
        <w:t xml:space="preserve"> 202</w:t>
      </w:r>
      <w:r w:rsidR="00275995" w:rsidRPr="763F0BF3">
        <w:rPr>
          <w:rFonts w:asciiTheme="minorHAnsi" w:hAnsiTheme="minorHAnsi" w:cstheme="minorBidi"/>
          <w:b/>
          <w:bCs/>
          <w:i/>
          <w:iCs/>
          <w:sz w:val="28"/>
          <w:szCs w:val="28"/>
          <w:lang w:val="en"/>
        </w:rPr>
        <w:t>4</w:t>
      </w:r>
    </w:p>
    <w:p w14:paraId="6647A8D8" w14:textId="77777777" w:rsidR="0021200E" w:rsidRPr="008F1802" w:rsidRDefault="0021200E" w:rsidP="0021200E">
      <w:pPr>
        <w:autoSpaceDE w:val="0"/>
        <w:autoSpaceDN w:val="0"/>
        <w:adjustRightInd w:val="0"/>
        <w:rPr>
          <w:rFonts w:asciiTheme="minorHAnsi" w:eastAsia="Calibri" w:hAnsiTheme="minorHAnsi" w:cstheme="minorHAnsi"/>
          <w:color w:val="000000"/>
        </w:rPr>
      </w:pPr>
      <w:bookmarkStart w:id="10" w:name="_Hlk30490339"/>
      <w:r w:rsidRPr="008F1802">
        <w:rPr>
          <w:rFonts w:asciiTheme="minorHAnsi" w:eastAsia="Calibri" w:hAnsiTheme="minorHAnsi" w:cstheme="minorHAnsi"/>
          <w:color w:val="000000"/>
        </w:rPr>
        <w:lastRenderedPageBreak/>
        <w:t xml:space="preserve">This </w:t>
      </w:r>
      <w:r w:rsidR="00317791" w:rsidRPr="008F1802">
        <w:rPr>
          <w:rFonts w:asciiTheme="minorHAnsi" w:eastAsia="Calibri" w:hAnsiTheme="minorHAnsi" w:cstheme="minorHAnsi"/>
          <w:color w:val="000000"/>
        </w:rPr>
        <w:t>publication by the</w:t>
      </w:r>
      <w:r w:rsidRPr="008F1802">
        <w:rPr>
          <w:rFonts w:asciiTheme="minorHAnsi" w:eastAsia="Calibri" w:hAnsiTheme="minorHAnsi" w:cstheme="minorHAnsi"/>
          <w:color w:val="000000"/>
        </w:rPr>
        <w:t xml:space="preserve"> Comm</w:t>
      </w:r>
      <w:r w:rsidR="00317791" w:rsidRPr="008F1802">
        <w:rPr>
          <w:rFonts w:asciiTheme="minorHAnsi" w:eastAsia="Calibri" w:hAnsiTheme="minorHAnsi" w:cstheme="minorHAnsi"/>
          <w:color w:val="000000"/>
        </w:rPr>
        <w:t>ission on Teacher Credentialing</w:t>
      </w:r>
      <w:r w:rsidRPr="008F1802">
        <w:rPr>
          <w:rFonts w:asciiTheme="minorHAnsi" w:eastAsia="Calibri" w:hAnsiTheme="minorHAnsi" w:cstheme="minorHAnsi"/>
          <w:color w:val="000000"/>
        </w:rPr>
        <w:t xml:space="preserve"> is not copyright. It may be reproduced in the public interest, but proper attribution is requested. </w:t>
      </w:r>
    </w:p>
    <w:p w14:paraId="20FAB9CD" w14:textId="7D446AB2" w:rsidR="0021200E" w:rsidRPr="008F1802" w:rsidRDefault="0021200E" w:rsidP="0021200E">
      <w:pPr>
        <w:autoSpaceDE w:val="0"/>
        <w:autoSpaceDN w:val="0"/>
        <w:adjustRightInd w:val="0"/>
        <w:rPr>
          <w:rFonts w:asciiTheme="minorHAnsi" w:eastAsia="Calibri" w:hAnsiTheme="minorHAnsi" w:cstheme="minorHAnsi"/>
          <w:color w:val="000000"/>
        </w:rPr>
      </w:pPr>
    </w:p>
    <w:p w14:paraId="496A151B" w14:textId="77777777" w:rsidR="00275995" w:rsidRPr="008F1802" w:rsidRDefault="00275995" w:rsidP="00275995">
      <w:pPr>
        <w:autoSpaceDE w:val="0"/>
        <w:autoSpaceDN w:val="0"/>
        <w:adjustRightInd w:val="0"/>
        <w:rPr>
          <w:rFonts w:asciiTheme="minorHAnsi" w:eastAsia="Calibri" w:hAnsiTheme="minorHAnsi" w:cstheme="minorHAnsi"/>
          <w:color w:val="000000"/>
        </w:rPr>
      </w:pPr>
      <w:r w:rsidRPr="008F1802">
        <w:rPr>
          <w:rFonts w:asciiTheme="minorHAnsi" w:eastAsia="Calibri" w:hAnsiTheme="minorHAnsi" w:cstheme="minorHAnsi"/>
          <w:color w:val="000000"/>
        </w:rPr>
        <w:t>May Lee State Office Complex</w:t>
      </w:r>
    </w:p>
    <w:p w14:paraId="05B88B86" w14:textId="77777777" w:rsidR="00275995" w:rsidRPr="008F1802" w:rsidRDefault="00275995" w:rsidP="00275995">
      <w:pPr>
        <w:autoSpaceDE w:val="0"/>
        <w:autoSpaceDN w:val="0"/>
        <w:adjustRightInd w:val="0"/>
        <w:rPr>
          <w:rFonts w:asciiTheme="minorHAnsi" w:eastAsia="Calibri" w:hAnsiTheme="minorHAnsi" w:cstheme="minorHAnsi"/>
          <w:color w:val="000000"/>
        </w:rPr>
      </w:pPr>
      <w:r w:rsidRPr="008F1802">
        <w:rPr>
          <w:rFonts w:asciiTheme="minorHAnsi" w:eastAsia="Calibri" w:hAnsiTheme="minorHAnsi" w:cstheme="minorHAnsi"/>
          <w:color w:val="000000"/>
        </w:rPr>
        <w:t>Commission on Teacher Credentialing</w:t>
      </w:r>
    </w:p>
    <w:p w14:paraId="13CD3793" w14:textId="77777777" w:rsidR="00275995" w:rsidRPr="008F1802" w:rsidRDefault="00275995" w:rsidP="00275995">
      <w:pPr>
        <w:autoSpaceDE w:val="0"/>
        <w:autoSpaceDN w:val="0"/>
        <w:adjustRightInd w:val="0"/>
        <w:rPr>
          <w:rFonts w:asciiTheme="minorHAnsi" w:eastAsia="Calibri" w:hAnsiTheme="minorHAnsi" w:cstheme="minorHAnsi"/>
          <w:color w:val="000000"/>
        </w:rPr>
      </w:pPr>
      <w:r w:rsidRPr="008F1802">
        <w:rPr>
          <w:rFonts w:asciiTheme="minorHAnsi" w:eastAsia="Calibri" w:hAnsiTheme="minorHAnsi" w:cstheme="minorHAnsi"/>
          <w:color w:val="000000"/>
        </w:rPr>
        <w:t>651 Bannon Street, Suite 601</w:t>
      </w:r>
    </w:p>
    <w:p w14:paraId="4C3653F6" w14:textId="42D9B61A" w:rsidR="0021200E" w:rsidRPr="008F1802" w:rsidRDefault="00275995" w:rsidP="00275995">
      <w:pPr>
        <w:autoSpaceDE w:val="0"/>
        <w:autoSpaceDN w:val="0"/>
        <w:adjustRightInd w:val="0"/>
        <w:rPr>
          <w:rFonts w:asciiTheme="minorHAnsi" w:eastAsia="Calibri" w:hAnsiTheme="minorHAnsi" w:cstheme="minorHAnsi"/>
          <w:color w:val="000000"/>
        </w:rPr>
      </w:pPr>
      <w:r w:rsidRPr="008F1802">
        <w:rPr>
          <w:rFonts w:asciiTheme="minorHAnsi" w:eastAsia="Calibri" w:hAnsiTheme="minorHAnsi" w:cstheme="minorHAnsi"/>
          <w:color w:val="000000"/>
        </w:rPr>
        <w:t>Sacramento, CA 95811</w:t>
      </w:r>
    </w:p>
    <w:p w14:paraId="70BDB534" w14:textId="77777777" w:rsidR="00275995" w:rsidRPr="008F1802" w:rsidRDefault="00275995" w:rsidP="00275995">
      <w:pPr>
        <w:autoSpaceDE w:val="0"/>
        <w:autoSpaceDN w:val="0"/>
        <w:adjustRightInd w:val="0"/>
        <w:rPr>
          <w:rFonts w:asciiTheme="minorHAnsi" w:eastAsia="Calibri" w:hAnsiTheme="minorHAnsi" w:cstheme="minorHAnsi"/>
          <w:color w:val="000000"/>
        </w:rPr>
      </w:pPr>
    </w:p>
    <w:p w14:paraId="059BF44E" w14:textId="7C8D88FE" w:rsidR="00F50425" w:rsidRPr="008F1802" w:rsidRDefault="00000000" w:rsidP="00F50425">
      <w:pPr>
        <w:autoSpaceDE w:val="0"/>
        <w:autoSpaceDN w:val="0"/>
        <w:adjustRightInd w:val="0"/>
        <w:spacing w:after="360"/>
        <w:rPr>
          <w:rStyle w:val="Hyperlink"/>
          <w:rFonts w:asciiTheme="minorHAnsi" w:eastAsia="Calibri" w:hAnsiTheme="minorHAnsi" w:cstheme="minorHAnsi"/>
        </w:rPr>
      </w:pPr>
      <w:hyperlink r:id="rId15" w:history="1">
        <w:r w:rsidR="00317791" w:rsidRPr="008F1802">
          <w:rPr>
            <w:rStyle w:val="Hyperlink"/>
            <w:rFonts w:asciiTheme="minorHAnsi" w:eastAsia="Calibri" w:hAnsiTheme="minorHAnsi" w:cstheme="minorHAnsi"/>
          </w:rPr>
          <w:t>Commission on Teacher Credentialing Program Standards</w:t>
        </w:r>
      </w:hyperlink>
    </w:p>
    <w:p w14:paraId="190FEAA6" w14:textId="643F28F1" w:rsidR="00702A78" w:rsidRPr="008F1802" w:rsidRDefault="00702A78" w:rsidP="00702A78">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sidRPr="008F1802">
        <w:rPr>
          <w:rFonts w:asciiTheme="minorHAnsi" w:eastAsia="Calibri" w:hAnsiTheme="minorHAnsi" w:cstheme="minorHAnsi"/>
          <w:b/>
          <w:color w:val="000000"/>
        </w:rPr>
        <w:t xml:space="preserve">Program Standards adopted </w:t>
      </w:r>
      <w:r w:rsidR="00275995" w:rsidRPr="008F1802">
        <w:rPr>
          <w:rFonts w:asciiTheme="minorHAnsi" w:eastAsia="Calibri" w:hAnsiTheme="minorHAnsi" w:cstheme="minorHAnsi"/>
          <w:b/>
          <w:color w:val="000000"/>
        </w:rPr>
        <w:t>August 2024</w:t>
      </w:r>
    </w:p>
    <w:p w14:paraId="12A9A9DD" w14:textId="7154527A" w:rsidR="00702A78" w:rsidRDefault="00702A78" w:rsidP="00702A78">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sidRPr="008F1802">
        <w:rPr>
          <w:rFonts w:asciiTheme="minorHAnsi" w:eastAsia="Calibri" w:hAnsiTheme="minorHAnsi" w:cstheme="minorHAnsi"/>
          <w:b/>
          <w:color w:val="000000"/>
        </w:rPr>
        <w:t xml:space="preserve">Performance Expectations adopted </w:t>
      </w:r>
      <w:r w:rsidR="00275995" w:rsidRPr="008F1802">
        <w:rPr>
          <w:rFonts w:asciiTheme="minorHAnsi" w:eastAsia="Calibri" w:hAnsiTheme="minorHAnsi" w:cstheme="minorHAnsi"/>
          <w:b/>
          <w:color w:val="000000"/>
        </w:rPr>
        <w:t>August 2024</w:t>
      </w:r>
    </w:p>
    <w:p w14:paraId="2AA8FD82" w14:textId="662F572F" w:rsidR="00EF6ADA" w:rsidRPr="008F1802" w:rsidRDefault="00EF6ADA" w:rsidP="00702A78">
      <w:pPr>
        <w:pBdr>
          <w:top w:val="single" w:sz="12" w:space="6" w:color="auto"/>
          <w:left w:val="single" w:sz="12" w:space="6" w:color="auto"/>
          <w:bottom w:val="single" w:sz="12" w:space="6" w:color="auto"/>
          <w:right w:val="single" w:sz="12" w:space="6" w:color="auto"/>
        </w:pBdr>
        <w:shd w:val="clear" w:color="auto" w:fill="E7E6E6"/>
        <w:rPr>
          <w:rFonts w:asciiTheme="minorHAnsi" w:eastAsia="Calibri" w:hAnsiTheme="minorHAnsi" w:cstheme="minorHAnsi"/>
          <w:b/>
          <w:color w:val="000000"/>
        </w:rPr>
      </w:pPr>
      <w:r>
        <w:rPr>
          <w:rFonts w:asciiTheme="minorHAnsi" w:eastAsia="Calibri" w:hAnsiTheme="minorHAnsi" w:cstheme="minorHAnsi"/>
          <w:b/>
          <w:color w:val="000000"/>
        </w:rPr>
        <w:t xml:space="preserve">Preconditions </w:t>
      </w:r>
      <w:r w:rsidR="00A02233">
        <w:rPr>
          <w:rFonts w:asciiTheme="minorHAnsi" w:eastAsia="Calibri" w:hAnsiTheme="minorHAnsi" w:cstheme="minorHAnsi"/>
          <w:b/>
          <w:color w:val="000000"/>
        </w:rPr>
        <w:t>September</w:t>
      </w:r>
      <w:r w:rsidR="00967ECA">
        <w:rPr>
          <w:rFonts w:asciiTheme="minorHAnsi" w:eastAsia="Calibri" w:hAnsiTheme="minorHAnsi" w:cstheme="minorHAnsi"/>
          <w:b/>
          <w:color w:val="000000"/>
        </w:rPr>
        <w:t xml:space="preserve"> 2024</w:t>
      </w:r>
    </w:p>
    <w:bookmarkEnd w:id="10"/>
    <w:p w14:paraId="5B3FD7D6" w14:textId="5C13058D" w:rsidR="0021200E" w:rsidRPr="008F1802" w:rsidRDefault="0021200E" w:rsidP="00F50425">
      <w:pPr>
        <w:autoSpaceDE w:val="0"/>
        <w:autoSpaceDN w:val="0"/>
        <w:adjustRightInd w:val="0"/>
        <w:spacing w:after="240"/>
        <w:rPr>
          <w:rFonts w:asciiTheme="minorHAnsi" w:eastAsia="Calibri" w:hAnsiTheme="minorHAnsi" w:cstheme="minorHAnsi"/>
          <w:color w:val="000000"/>
        </w:rPr>
        <w:sectPr w:rsidR="0021200E" w:rsidRPr="008F1802" w:rsidSect="0021200E">
          <w:headerReference w:type="default" r:id="rId16"/>
          <w:footerReference w:type="first" r:id="rId17"/>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p>
    <w:sdt>
      <w:sdtPr>
        <w:rPr>
          <w:rFonts w:eastAsia="Times New Roman" w:cs="Times New Roman"/>
          <w:b w:val="0"/>
          <w:bCs w:val="0"/>
          <w:i w:val="0"/>
          <w:iCs w:val="0"/>
          <w:sz w:val="24"/>
          <w:szCs w:val="24"/>
          <w:lang w:eastAsia="en-US"/>
        </w:rPr>
        <w:id w:val="1983036610"/>
        <w:docPartObj>
          <w:docPartGallery w:val="Table of Contents"/>
          <w:docPartUnique/>
        </w:docPartObj>
      </w:sdtPr>
      <w:sdtEndPr>
        <w:rPr>
          <w:rFonts w:asciiTheme="minorHAnsi" w:hAnsiTheme="minorHAnsi"/>
          <w:noProof/>
        </w:rPr>
      </w:sdtEndPr>
      <w:sdtContent>
        <w:sdt>
          <w:sdtPr>
            <w:rPr>
              <w:rFonts w:eastAsia="Times New Roman" w:cs="Times New Roman"/>
              <w:b w:val="0"/>
              <w:bCs w:val="0"/>
              <w:i w:val="0"/>
              <w:iCs w:val="0"/>
              <w:sz w:val="24"/>
              <w:szCs w:val="24"/>
              <w:lang w:eastAsia="en-US"/>
            </w:rPr>
            <w:id w:val="2092662271"/>
            <w:docPartObj>
              <w:docPartGallery w:val="Table of Contents"/>
              <w:docPartUnique/>
            </w:docPartObj>
          </w:sdtPr>
          <w:sdtEndPr>
            <w:rPr>
              <w:rFonts w:asciiTheme="minorHAnsi" w:hAnsiTheme="minorHAnsi"/>
              <w:noProof/>
            </w:rPr>
          </w:sdtEndPr>
          <w:sdtContent>
            <w:p w14:paraId="7EE6C311" w14:textId="77777777" w:rsidR="00A02233" w:rsidRPr="008F1802" w:rsidRDefault="00A02233" w:rsidP="00A02233">
              <w:pPr>
                <w:pStyle w:val="TOCHeading"/>
              </w:pPr>
              <w:r w:rsidRPr="008F1802">
                <w:t>Contents</w:t>
              </w:r>
            </w:p>
            <w:p w14:paraId="6FAF4126" w14:textId="2B2C6607" w:rsidR="009074EB" w:rsidRDefault="00A02233">
              <w:pPr>
                <w:pStyle w:val="TOC1"/>
                <w:tabs>
                  <w:tab w:val="right" w:leader="dot" w:pos="9260"/>
                </w:tabs>
                <w:rPr>
                  <w:rFonts w:eastAsiaTheme="minorEastAsia" w:cstheme="minorBidi"/>
                  <w:b w:val="0"/>
                  <w:bCs w:val="0"/>
                  <w:i w:val="0"/>
                  <w:iCs w:val="0"/>
                  <w:noProof/>
                  <w:kern w:val="2"/>
                  <w14:ligatures w14:val="standardContextual"/>
                </w:rPr>
              </w:pPr>
              <w:r w:rsidRPr="008F1802">
                <w:rPr>
                  <w:rFonts w:cstheme="minorHAnsi"/>
                </w:rPr>
                <w:fldChar w:fldCharType="begin"/>
              </w:r>
              <w:r w:rsidRPr="008F1802">
                <w:rPr>
                  <w:rFonts w:cstheme="minorHAnsi"/>
                </w:rPr>
                <w:instrText xml:space="preserve"> TOC \o "1-3" \h \z \u </w:instrText>
              </w:r>
              <w:r w:rsidRPr="008F1802">
                <w:rPr>
                  <w:rFonts w:cstheme="minorHAnsi"/>
                </w:rPr>
                <w:fldChar w:fldCharType="separate"/>
              </w:r>
              <w:hyperlink w:anchor="_Toc178259249" w:history="1">
                <w:r w:rsidR="009074EB" w:rsidRPr="00533C74">
                  <w:rPr>
                    <w:rStyle w:val="Hyperlink"/>
                    <w:i w:val="0"/>
                    <w:iCs w:val="0"/>
                    <w:noProof/>
                  </w:rPr>
                  <w:t xml:space="preserve">Pupil Personnel Services: Child Welfare and Attendance Added Authorization </w:t>
                </w:r>
                <w:r w:rsidR="00863B37">
                  <w:rPr>
                    <w:rStyle w:val="Hyperlink"/>
                    <w:i w:val="0"/>
                    <w:iCs w:val="0"/>
                    <w:noProof/>
                  </w:rPr>
                  <w:t>Information</w:t>
                </w:r>
                <w:r w:rsidR="00533C74">
                  <w:rPr>
                    <w:rStyle w:val="Hyperlink"/>
                    <w:noProof/>
                  </w:rPr>
                  <w:t xml:space="preserve"> </w:t>
                </w:r>
                <w:r w:rsidR="009074EB">
                  <w:rPr>
                    <w:noProof/>
                    <w:webHidden/>
                  </w:rPr>
                  <w:tab/>
                </w:r>
                <w:r w:rsidR="009074EB">
                  <w:rPr>
                    <w:noProof/>
                    <w:webHidden/>
                  </w:rPr>
                  <w:fldChar w:fldCharType="begin"/>
                </w:r>
                <w:r w:rsidR="009074EB">
                  <w:rPr>
                    <w:noProof/>
                    <w:webHidden/>
                  </w:rPr>
                  <w:instrText xml:space="preserve"> PAGEREF _Toc178259249 \h </w:instrText>
                </w:r>
                <w:r w:rsidR="009074EB">
                  <w:rPr>
                    <w:noProof/>
                    <w:webHidden/>
                  </w:rPr>
                </w:r>
                <w:r w:rsidR="009074EB">
                  <w:rPr>
                    <w:noProof/>
                    <w:webHidden/>
                  </w:rPr>
                  <w:fldChar w:fldCharType="separate"/>
                </w:r>
                <w:r w:rsidR="00D475C6">
                  <w:rPr>
                    <w:noProof/>
                    <w:webHidden/>
                  </w:rPr>
                  <w:t>1</w:t>
                </w:r>
                <w:r w:rsidR="009074EB">
                  <w:rPr>
                    <w:noProof/>
                    <w:webHidden/>
                  </w:rPr>
                  <w:fldChar w:fldCharType="end"/>
                </w:r>
              </w:hyperlink>
            </w:p>
            <w:p w14:paraId="316354DA" w14:textId="576F95F5" w:rsidR="009074EB" w:rsidRPr="00533C74" w:rsidRDefault="00000000" w:rsidP="00533C74">
              <w:pPr>
                <w:pStyle w:val="TOC2"/>
                <w:rPr>
                  <w:rFonts w:eastAsiaTheme="minorEastAsia" w:cstheme="minorBidi"/>
                  <w:kern w:val="2"/>
                  <w:sz w:val="24"/>
                  <w:szCs w:val="24"/>
                  <w14:ligatures w14:val="standardContextual"/>
                </w:rPr>
              </w:pPr>
              <w:hyperlink w:anchor="_Toc178259250" w:history="1">
                <w:r w:rsidR="009074EB" w:rsidRPr="00533C74">
                  <w:rPr>
                    <w:rStyle w:val="Hyperlink"/>
                  </w:rPr>
                  <w:t>Pupil Personnel Services: Child Welfare and Attendance Added Authorization Preconditions</w:t>
                </w:r>
                <w:r w:rsidR="009074EB" w:rsidRPr="00533C74">
                  <w:rPr>
                    <w:webHidden/>
                  </w:rPr>
                  <w:tab/>
                </w:r>
                <w:r w:rsidR="009074EB" w:rsidRPr="00533C74">
                  <w:rPr>
                    <w:webHidden/>
                  </w:rPr>
                  <w:fldChar w:fldCharType="begin"/>
                </w:r>
                <w:r w:rsidR="009074EB" w:rsidRPr="00533C74">
                  <w:rPr>
                    <w:webHidden/>
                  </w:rPr>
                  <w:instrText xml:space="preserve"> PAGEREF _Toc178259250 \h </w:instrText>
                </w:r>
                <w:r w:rsidR="009074EB" w:rsidRPr="00533C74">
                  <w:rPr>
                    <w:webHidden/>
                  </w:rPr>
                </w:r>
                <w:r w:rsidR="009074EB" w:rsidRPr="00533C74">
                  <w:rPr>
                    <w:webHidden/>
                  </w:rPr>
                  <w:fldChar w:fldCharType="separate"/>
                </w:r>
                <w:r w:rsidR="00D475C6">
                  <w:rPr>
                    <w:webHidden/>
                  </w:rPr>
                  <w:t>2</w:t>
                </w:r>
                <w:r w:rsidR="009074EB" w:rsidRPr="00533C74">
                  <w:rPr>
                    <w:webHidden/>
                  </w:rPr>
                  <w:fldChar w:fldCharType="end"/>
                </w:r>
              </w:hyperlink>
            </w:p>
            <w:p w14:paraId="4ABB0763" w14:textId="09B2C293" w:rsidR="009074EB" w:rsidRDefault="00000000" w:rsidP="00533C74">
              <w:pPr>
                <w:pStyle w:val="TOC2"/>
                <w:rPr>
                  <w:rFonts w:eastAsiaTheme="minorEastAsia" w:cstheme="minorBidi"/>
                  <w:b/>
                  <w:bCs/>
                  <w:kern w:val="2"/>
                  <w:sz w:val="24"/>
                  <w:szCs w:val="24"/>
                  <w14:ligatures w14:val="standardContextual"/>
                </w:rPr>
              </w:pPr>
              <w:hyperlink w:anchor="_Toc178259251" w:history="1">
                <w:r w:rsidR="009074EB" w:rsidRPr="00F95713">
                  <w:rPr>
                    <w:rStyle w:val="Hyperlink"/>
                    <w:rFonts w:eastAsia="Cambria"/>
                  </w:rPr>
                  <w:t>Pupil Personnel Services: Child Welfare and Attendance</w:t>
                </w:r>
                <w:r w:rsidR="005164DE">
                  <w:rPr>
                    <w:rStyle w:val="Hyperlink"/>
                    <w:rFonts w:eastAsia="Cambria"/>
                  </w:rPr>
                  <w:t xml:space="preserve"> Added Authorization Program Standards</w:t>
                </w:r>
                <w:r w:rsidR="00304222">
                  <w:rPr>
                    <w:rStyle w:val="Hyperlink"/>
                    <w:rFonts w:eastAsia="Cambria"/>
                  </w:rPr>
                  <w:t xml:space="preserve"> and </w:t>
                </w:r>
                <w:r w:rsidR="00205302">
                  <w:rPr>
                    <w:rStyle w:val="Hyperlink"/>
                    <w:rFonts w:eastAsia="Cambria"/>
                  </w:rPr>
                  <w:t>Performanc</w:t>
                </w:r>
                <w:r w:rsidR="009B19F9">
                  <w:rPr>
                    <w:rStyle w:val="Hyperlink"/>
                    <w:rFonts w:eastAsia="Cambria"/>
                  </w:rPr>
                  <w:t>e</w:t>
                </w:r>
                <w:r w:rsidR="00205302">
                  <w:rPr>
                    <w:rStyle w:val="Hyperlink"/>
                    <w:rFonts w:eastAsia="Cambria"/>
                  </w:rPr>
                  <w:t xml:space="preserve"> Expectations</w:t>
                </w:r>
                <w:r w:rsidR="009074EB">
                  <w:rPr>
                    <w:webHidden/>
                  </w:rPr>
                  <w:tab/>
                </w:r>
                <w:r w:rsidR="009074EB">
                  <w:rPr>
                    <w:webHidden/>
                  </w:rPr>
                  <w:fldChar w:fldCharType="begin"/>
                </w:r>
                <w:r w:rsidR="009074EB">
                  <w:rPr>
                    <w:webHidden/>
                  </w:rPr>
                  <w:instrText xml:space="preserve"> PAGEREF _Toc178259251 \h </w:instrText>
                </w:r>
                <w:r w:rsidR="009074EB">
                  <w:rPr>
                    <w:webHidden/>
                  </w:rPr>
                </w:r>
                <w:r w:rsidR="009074EB">
                  <w:rPr>
                    <w:webHidden/>
                  </w:rPr>
                  <w:fldChar w:fldCharType="separate"/>
                </w:r>
                <w:r w:rsidR="00D475C6">
                  <w:rPr>
                    <w:webHidden/>
                  </w:rPr>
                  <w:t>3</w:t>
                </w:r>
                <w:r w:rsidR="009074EB">
                  <w:rPr>
                    <w:webHidden/>
                  </w:rPr>
                  <w:fldChar w:fldCharType="end"/>
                </w:r>
              </w:hyperlink>
            </w:p>
            <w:p w14:paraId="2AB7AFDE" w14:textId="4F76CBED" w:rsidR="00A02233" w:rsidRDefault="00A02233" w:rsidP="00A02233">
              <w:pPr>
                <w:rPr>
                  <w:rFonts w:asciiTheme="minorHAnsi" w:hAnsiTheme="minorHAnsi"/>
                  <w:noProof/>
                </w:rPr>
              </w:pPr>
              <w:r w:rsidRPr="008F1802">
                <w:rPr>
                  <w:rFonts w:asciiTheme="minorHAnsi" w:hAnsiTheme="minorHAnsi" w:cstheme="minorHAnsi"/>
                  <w:b/>
                  <w:bCs/>
                  <w:noProof/>
                </w:rPr>
                <w:fldChar w:fldCharType="end"/>
              </w:r>
            </w:p>
          </w:sdtContent>
        </w:sdt>
        <w:p w14:paraId="33B2E493" w14:textId="5540AC20" w:rsidR="00A041DF" w:rsidRPr="005D385A" w:rsidRDefault="00EA749F" w:rsidP="005D385A">
          <w:r>
            <w:rPr>
              <w:b/>
              <w:bCs/>
              <w:i/>
              <w:iCs/>
            </w:rPr>
            <w:br w:type="page"/>
          </w:r>
        </w:p>
      </w:sdtContent>
    </w:sdt>
    <w:p w14:paraId="066BC688" w14:textId="77777777" w:rsidR="00EA051A" w:rsidRPr="008F1802" w:rsidRDefault="00EA051A" w:rsidP="00E73028">
      <w:pPr>
        <w:rPr>
          <w:rFonts w:asciiTheme="minorHAnsi" w:hAnsiTheme="minorHAnsi" w:cstheme="minorHAnsi"/>
        </w:rPr>
        <w:sectPr w:rsidR="00EA051A" w:rsidRPr="008F1802" w:rsidSect="00D41006">
          <w:headerReference w:type="default" r:id="rId18"/>
          <w:footerReference w:type="default" r:id="rId19"/>
          <w:pgSz w:w="12240" w:h="15840"/>
          <w:pgMar w:top="1170" w:right="1530" w:bottom="1440" w:left="1440" w:header="720" w:footer="720" w:gutter="0"/>
          <w:cols w:space="720"/>
          <w:docGrid w:linePitch="360"/>
        </w:sectPr>
      </w:pPr>
    </w:p>
    <w:p w14:paraId="67883B8F" w14:textId="77777777" w:rsidR="0095083B" w:rsidRDefault="0095083B" w:rsidP="0095083B">
      <w:pPr>
        <w:pStyle w:val="TOCHeading"/>
        <w:spacing w:after="0" w:line="240" w:lineRule="auto"/>
        <w:rPr>
          <w:rFonts w:asciiTheme="minorHAnsi" w:eastAsia="Times New Roman" w:hAnsiTheme="minorHAnsi"/>
          <w:i w:val="0"/>
          <w:iCs w:val="0"/>
          <w:sz w:val="32"/>
          <w:szCs w:val="32"/>
          <w:lang w:eastAsia="en-US"/>
        </w:rPr>
      </w:pPr>
      <w:bookmarkStart w:id="11" w:name="h.xefkwmlpmu7j" w:colFirst="0" w:colLast="0"/>
      <w:bookmarkStart w:id="12" w:name="h.1x1n4zvl9x5n" w:colFirst="0" w:colLast="0"/>
      <w:bookmarkStart w:id="13" w:name="h.njawgw1f0in3" w:colFirst="0" w:colLast="0"/>
      <w:bookmarkStart w:id="14" w:name="h.jpqis7x82plz" w:colFirst="0" w:colLast="0"/>
      <w:bookmarkStart w:id="15" w:name="h.9acvcghjkitl" w:colFirst="0" w:colLast="0"/>
      <w:bookmarkStart w:id="16" w:name="h.nz6xzktf56j2" w:colFirst="0" w:colLast="0"/>
      <w:bookmarkStart w:id="17" w:name="h.qmxb5tyhve7k" w:colFirst="0" w:colLast="0"/>
      <w:bookmarkStart w:id="18" w:name="h.jywgjkj5rbz5" w:colFirst="0" w:colLast="0"/>
      <w:bookmarkStart w:id="19" w:name="h.8jryp9fkmttp" w:colFirst="0" w:colLast="0"/>
      <w:bookmarkStart w:id="20" w:name="h.hymbze4ks1hb" w:colFirst="0" w:colLast="0"/>
      <w:bookmarkStart w:id="21" w:name="h.3al77g2wbexd" w:colFirst="0" w:colLast="0"/>
      <w:bookmarkStart w:id="22" w:name="h.srogdzq4krzt" w:colFirst="0" w:colLast="0"/>
      <w:bookmarkStart w:id="23" w:name="h.gjdgxs" w:colFirst="0" w:colLast="0"/>
      <w:bookmarkStart w:id="24" w:name="Preconditions"/>
      <w:bookmarkStart w:id="25" w:name="_Toc21603966"/>
      <w:bookmarkStart w:id="26" w:name="_Toc21604226"/>
      <w:bookmarkStart w:id="27" w:name="_Toc40878542"/>
      <w:bookmarkStart w:id="28" w:name="_Toc21603970"/>
      <w:bookmarkStart w:id="29" w:name="_Toc21604229"/>
      <w:bookmarkStart w:id="30" w:name="_Toc40878544"/>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HAnsi" w:eastAsia="Times New Roman" w:hAnsiTheme="minorHAnsi"/>
          <w:i w:val="0"/>
          <w:iCs w:val="0"/>
          <w:sz w:val="32"/>
          <w:szCs w:val="32"/>
          <w:lang w:eastAsia="en-US"/>
        </w:rPr>
        <w:lastRenderedPageBreak/>
        <w:t>2024</w:t>
      </w:r>
      <w:r w:rsidRPr="00410CC6">
        <w:rPr>
          <w:rFonts w:asciiTheme="minorHAnsi" w:eastAsia="Times New Roman" w:hAnsiTheme="minorHAnsi"/>
          <w:i w:val="0"/>
          <w:iCs w:val="0"/>
          <w:sz w:val="32"/>
          <w:szCs w:val="32"/>
          <w:lang w:eastAsia="en-US"/>
        </w:rPr>
        <w:t xml:space="preserve"> C</w:t>
      </w:r>
      <w:r>
        <w:rPr>
          <w:rFonts w:asciiTheme="minorHAnsi" w:eastAsia="Times New Roman" w:hAnsiTheme="minorHAnsi"/>
          <w:i w:val="0"/>
          <w:iCs w:val="0"/>
          <w:sz w:val="32"/>
          <w:szCs w:val="32"/>
          <w:lang w:eastAsia="en-US"/>
        </w:rPr>
        <w:t xml:space="preserve">hild </w:t>
      </w:r>
      <w:r w:rsidRPr="00410CC6">
        <w:rPr>
          <w:rFonts w:asciiTheme="minorHAnsi" w:eastAsia="Times New Roman" w:hAnsiTheme="minorHAnsi"/>
          <w:i w:val="0"/>
          <w:iCs w:val="0"/>
          <w:sz w:val="32"/>
          <w:szCs w:val="32"/>
          <w:lang w:eastAsia="en-US"/>
        </w:rPr>
        <w:t>W</w:t>
      </w:r>
      <w:r>
        <w:rPr>
          <w:rFonts w:asciiTheme="minorHAnsi" w:eastAsia="Times New Roman" w:hAnsiTheme="minorHAnsi"/>
          <w:i w:val="0"/>
          <w:iCs w:val="0"/>
          <w:sz w:val="32"/>
          <w:szCs w:val="32"/>
          <w:lang w:eastAsia="en-US"/>
        </w:rPr>
        <w:t xml:space="preserve">elfare and </w:t>
      </w:r>
      <w:r w:rsidRPr="00410CC6">
        <w:rPr>
          <w:rFonts w:asciiTheme="minorHAnsi" w:eastAsia="Times New Roman" w:hAnsiTheme="minorHAnsi"/>
          <w:i w:val="0"/>
          <w:iCs w:val="0"/>
          <w:sz w:val="32"/>
          <w:szCs w:val="32"/>
          <w:lang w:eastAsia="en-US"/>
        </w:rPr>
        <w:t>A</w:t>
      </w:r>
      <w:r>
        <w:rPr>
          <w:rFonts w:asciiTheme="minorHAnsi" w:eastAsia="Times New Roman" w:hAnsiTheme="minorHAnsi"/>
          <w:i w:val="0"/>
          <w:iCs w:val="0"/>
          <w:sz w:val="32"/>
          <w:szCs w:val="32"/>
          <w:lang w:eastAsia="en-US"/>
        </w:rPr>
        <w:t>ttendance</w:t>
      </w:r>
      <w:r w:rsidRPr="00410CC6">
        <w:rPr>
          <w:rFonts w:asciiTheme="minorHAnsi" w:eastAsia="Times New Roman" w:hAnsiTheme="minorHAnsi"/>
          <w:i w:val="0"/>
          <w:iCs w:val="0"/>
          <w:sz w:val="32"/>
          <w:szCs w:val="32"/>
          <w:lang w:eastAsia="en-US"/>
        </w:rPr>
        <w:t xml:space="preserve"> </w:t>
      </w:r>
      <w:r>
        <w:rPr>
          <w:rFonts w:asciiTheme="minorHAnsi" w:eastAsia="Times New Roman" w:hAnsiTheme="minorHAnsi"/>
          <w:i w:val="0"/>
          <w:iCs w:val="0"/>
          <w:sz w:val="32"/>
          <w:szCs w:val="32"/>
          <w:lang w:eastAsia="en-US"/>
        </w:rPr>
        <w:t xml:space="preserve">(CWA) </w:t>
      </w:r>
      <w:r w:rsidRPr="00410CC6">
        <w:rPr>
          <w:rFonts w:asciiTheme="minorHAnsi" w:eastAsia="Times New Roman" w:hAnsiTheme="minorHAnsi"/>
          <w:i w:val="0"/>
          <w:iCs w:val="0"/>
          <w:sz w:val="32"/>
          <w:szCs w:val="32"/>
          <w:lang w:eastAsia="en-US"/>
        </w:rPr>
        <w:t xml:space="preserve">Added Authorization </w:t>
      </w:r>
    </w:p>
    <w:p w14:paraId="7061D1AF" w14:textId="77777777" w:rsidR="0095083B" w:rsidRPr="00410CC6" w:rsidRDefault="0095083B" w:rsidP="0095083B">
      <w:pPr>
        <w:pStyle w:val="TOCHeading"/>
        <w:spacing w:before="0" w:line="240" w:lineRule="auto"/>
        <w:rPr>
          <w:rFonts w:asciiTheme="minorHAnsi" w:eastAsia="Times New Roman" w:hAnsiTheme="minorHAnsi"/>
          <w:i w:val="0"/>
          <w:iCs w:val="0"/>
          <w:sz w:val="32"/>
          <w:szCs w:val="32"/>
          <w:lang w:eastAsia="en-US"/>
        </w:rPr>
      </w:pPr>
      <w:r w:rsidRPr="00410CC6">
        <w:rPr>
          <w:rFonts w:asciiTheme="minorHAnsi" w:eastAsia="Times New Roman" w:hAnsiTheme="minorHAnsi"/>
          <w:i w:val="0"/>
          <w:iCs w:val="0"/>
          <w:sz w:val="32"/>
          <w:szCs w:val="32"/>
          <w:lang w:eastAsia="en-US"/>
        </w:rPr>
        <w:t>Standards</w:t>
      </w:r>
      <w:r>
        <w:rPr>
          <w:rFonts w:asciiTheme="minorHAnsi" w:eastAsia="Times New Roman" w:hAnsiTheme="minorHAnsi"/>
          <w:i w:val="0"/>
          <w:iCs w:val="0"/>
          <w:sz w:val="32"/>
          <w:szCs w:val="32"/>
          <w:lang w:eastAsia="en-US"/>
        </w:rPr>
        <w:t xml:space="preserve"> and Performance Expectations</w:t>
      </w:r>
    </w:p>
    <w:p w14:paraId="73B626A0" w14:textId="77777777" w:rsidR="0095083B" w:rsidRDefault="0095083B" w:rsidP="0095083B">
      <w:pPr>
        <w:rPr>
          <w:rFonts w:asciiTheme="minorHAnsi" w:hAnsiTheme="minorHAnsi" w:cstheme="minorHAnsi"/>
        </w:rPr>
      </w:pPr>
      <w:r w:rsidRPr="006E0C61">
        <w:rPr>
          <w:rFonts w:asciiTheme="minorHAnsi" w:hAnsiTheme="minorHAnsi" w:cstheme="minorHAnsi"/>
          <w:i/>
          <w:iCs/>
        </w:rPr>
        <w:t>Important note about these standards:</w:t>
      </w:r>
      <w:r>
        <w:rPr>
          <w:rFonts w:asciiTheme="minorHAnsi" w:hAnsiTheme="minorHAnsi" w:cstheme="minorHAnsi"/>
        </w:rPr>
        <w:t xml:space="preserve"> </w:t>
      </w:r>
      <w:r w:rsidRPr="006A2D10">
        <w:rPr>
          <w:rFonts w:asciiTheme="minorHAnsi" w:hAnsiTheme="minorHAnsi" w:cstheme="minorHAnsi"/>
        </w:rPr>
        <w:t>Candidates enrolled in an existing P</w:t>
      </w:r>
      <w:r>
        <w:rPr>
          <w:rFonts w:asciiTheme="minorHAnsi" w:hAnsiTheme="minorHAnsi" w:cstheme="minorHAnsi"/>
        </w:rPr>
        <w:t xml:space="preserve">upil </w:t>
      </w:r>
      <w:r w:rsidRPr="006A2D10">
        <w:rPr>
          <w:rFonts w:asciiTheme="minorHAnsi" w:hAnsiTheme="minorHAnsi" w:cstheme="minorHAnsi"/>
        </w:rPr>
        <w:t>P</w:t>
      </w:r>
      <w:r>
        <w:rPr>
          <w:rFonts w:asciiTheme="minorHAnsi" w:hAnsiTheme="minorHAnsi" w:cstheme="minorHAnsi"/>
        </w:rPr>
        <w:t xml:space="preserve">ersonnel </w:t>
      </w:r>
      <w:r w:rsidRPr="006A2D10">
        <w:rPr>
          <w:rFonts w:asciiTheme="minorHAnsi" w:hAnsiTheme="minorHAnsi" w:cstheme="minorHAnsi"/>
        </w:rPr>
        <w:t>S</w:t>
      </w:r>
      <w:r>
        <w:rPr>
          <w:rFonts w:asciiTheme="minorHAnsi" w:hAnsiTheme="minorHAnsi" w:cstheme="minorHAnsi"/>
        </w:rPr>
        <w:t xml:space="preserve">ervices (PPS) </w:t>
      </w:r>
      <w:r w:rsidRPr="006A2D10">
        <w:rPr>
          <w:rFonts w:asciiTheme="minorHAnsi" w:hAnsiTheme="minorHAnsi" w:cstheme="minorHAnsi"/>
        </w:rPr>
        <w:t>School Social Work, School Counseling, or School Psychology credential program operating under the 2019 Commission-adopted standards have the content for the CWA Added Authorization embedded within their base PPS program</w:t>
      </w:r>
      <w:r>
        <w:rPr>
          <w:rFonts w:asciiTheme="minorHAnsi" w:hAnsiTheme="minorHAnsi" w:cstheme="minorHAnsi"/>
        </w:rPr>
        <w:t>. T</w:t>
      </w:r>
      <w:r w:rsidRPr="006A2D10">
        <w:rPr>
          <w:rFonts w:asciiTheme="minorHAnsi" w:hAnsiTheme="minorHAnsi" w:cstheme="minorHAnsi"/>
        </w:rPr>
        <w:t xml:space="preserve">hese new CWA standards and performance expectations are necessary </w:t>
      </w:r>
      <w:r>
        <w:rPr>
          <w:rFonts w:asciiTheme="minorHAnsi" w:hAnsiTheme="minorHAnsi" w:cstheme="minorHAnsi"/>
        </w:rPr>
        <w:t xml:space="preserve">under </w:t>
      </w:r>
      <w:r w:rsidRPr="006A2D10">
        <w:rPr>
          <w:rFonts w:asciiTheme="minorHAnsi" w:hAnsiTheme="minorHAnsi" w:cstheme="minorHAnsi"/>
        </w:rPr>
        <w:t xml:space="preserve">a particular set of circumstances.  These standards and performance expectations are to be used by:  </w:t>
      </w:r>
    </w:p>
    <w:p w14:paraId="2DF4B24D" w14:textId="77777777" w:rsidR="0095083B" w:rsidRPr="006A2D10" w:rsidRDefault="0095083B" w:rsidP="0095083B">
      <w:pPr>
        <w:rPr>
          <w:rFonts w:asciiTheme="minorHAnsi" w:hAnsiTheme="minorHAnsi" w:cstheme="minorHAnsi"/>
        </w:rPr>
      </w:pPr>
    </w:p>
    <w:p w14:paraId="1F68F649" w14:textId="7D44B35C" w:rsidR="0095083B" w:rsidRDefault="0095083B" w:rsidP="0095083B">
      <w:pPr>
        <w:numPr>
          <w:ilvl w:val="0"/>
          <w:numId w:val="45"/>
        </w:numPr>
        <w:rPr>
          <w:rFonts w:asciiTheme="minorHAnsi" w:hAnsiTheme="minorHAnsi" w:cstheme="minorHAnsi"/>
        </w:rPr>
      </w:pPr>
      <w:r w:rsidRPr="006A2D10">
        <w:rPr>
          <w:rFonts w:asciiTheme="minorHAnsi" w:hAnsiTheme="minorHAnsi" w:cstheme="minorHAnsi"/>
        </w:rPr>
        <w:t>Currently approved PPS programs that wish to offer the CWA added authorization to candidates who earned their PPS credential in a program operated under the prior set of program standards (prior to the</w:t>
      </w:r>
      <w:r>
        <w:rPr>
          <w:rFonts w:asciiTheme="minorHAnsi" w:hAnsiTheme="minorHAnsi" w:cstheme="minorHAnsi"/>
        </w:rPr>
        <w:t xml:space="preserve"> </w:t>
      </w:r>
      <w:r w:rsidRPr="006A2D10">
        <w:rPr>
          <w:rFonts w:asciiTheme="minorHAnsi" w:hAnsiTheme="minorHAnsi" w:cstheme="minorHAnsi"/>
        </w:rPr>
        <w:t xml:space="preserve">2019 adopted PPS standards and performance expectations). These new CWA standards make it clear what programs should look for to determine what additional content these candidates may need to complete and/or performance expectations to demonstrate in order to earn the CWA authorization. Because these candidates completed </w:t>
      </w:r>
      <w:r w:rsidR="00F1453B">
        <w:rPr>
          <w:rFonts w:asciiTheme="minorHAnsi" w:hAnsiTheme="minorHAnsi" w:cstheme="minorHAnsi"/>
        </w:rPr>
        <w:t>PPS</w:t>
      </w:r>
      <w:r w:rsidRPr="006A2D10">
        <w:rPr>
          <w:rFonts w:asciiTheme="minorHAnsi" w:hAnsiTheme="minorHAnsi" w:cstheme="minorHAnsi"/>
        </w:rPr>
        <w:t xml:space="preserve"> programs under previously approved standards and at various institutions, these decisions may be made </w:t>
      </w:r>
      <w:r>
        <w:rPr>
          <w:rFonts w:asciiTheme="minorHAnsi" w:hAnsiTheme="minorHAnsi" w:cstheme="minorHAnsi"/>
        </w:rPr>
        <w:t>on a candidate</w:t>
      </w:r>
      <w:r w:rsidRPr="006A2D10">
        <w:rPr>
          <w:rFonts w:asciiTheme="minorHAnsi" w:hAnsiTheme="minorHAnsi" w:cstheme="minorHAnsi"/>
        </w:rPr>
        <w:t xml:space="preserve"> by </w:t>
      </w:r>
      <w:r>
        <w:rPr>
          <w:rFonts w:asciiTheme="minorHAnsi" w:hAnsiTheme="minorHAnsi" w:cstheme="minorHAnsi"/>
        </w:rPr>
        <w:t xml:space="preserve">candidate basis by the </w:t>
      </w:r>
      <w:r w:rsidRPr="006A2D10">
        <w:rPr>
          <w:rFonts w:asciiTheme="minorHAnsi" w:hAnsiTheme="minorHAnsi" w:cstheme="minorHAnsi"/>
        </w:rPr>
        <w:t xml:space="preserve">Commission-approved </w:t>
      </w:r>
      <w:r>
        <w:rPr>
          <w:rFonts w:asciiTheme="minorHAnsi" w:hAnsiTheme="minorHAnsi" w:cstheme="minorHAnsi"/>
        </w:rPr>
        <w:t>CWA</w:t>
      </w:r>
      <w:r w:rsidRPr="006A2D10">
        <w:rPr>
          <w:rFonts w:asciiTheme="minorHAnsi" w:hAnsiTheme="minorHAnsi" w:cstheme="minorHAnsi"/>
        </w:rPr>
        <w:t xml:space="preserve"> program.</w:t>
      </w:r>
    </w:p>
    <w:p w14:paraId="18BD1ED8" w14:textId="77777777" w:rsidR="0095083B" w:rsidRPr="006A2D10" w:rsidRDefault="0095083B" w:rsidP="0095083B">
      <w:pPr>
        <w:ind w:left="720"/>
        <w:rPr>
          <w:rFonts w:asciiTheme="minorHAnsi" w:hAnsiTheme="minorHAnsi" w:cstheme="minorHAnsi"/>
        </w:rPr>
      </w:pPr>
    </w:p>
    <w:p w14:paraId="2A551385" w14:textId="1E829C6A" w:rsidR="0095083B" w:rsidRPr="006A2D10" w:rsidRDefault="0095083B" w:rsidP="0095083B">
      <w:pPr>
        <w:numPr>
          <w:ilvl w:val="0"/>
          <w:numId w:val="45"/>
        </w:numPr>
        <w:rPr>
          <w:rFonts w:asciiTheme="minorHAnsi" w:hAnsiTheme="minorHAnsi" w:cstheme="minorHAnsi"/>
        </w:rPr>
      </w:pPr>
      <w:r w:rsidRPr="006A2D10">
        <w:rPr>
          <w:rFonts w:asciiTheme="minorHAnsi" w:hAnsiTheme="minorHAnsi" w:cstheme="minorHAnsi"/>
        </w:rPr>
        <w:t xml:space="preserve">Institutions, including LEA-based programs, that do not offer a PPS credential but wish to offer the CWA Added Authorization.  </w:t>
      </w:r>
      <w:hyperlink r:id="rId20" w:history="1">
        <w:r w:rsidRPr="00111D89">
          <w:rPr>
            <w:rStyle w:val="Hyperlink"/>
            <w:rFonts w:asciiTheme="minorHAnsi" w:hAnsiTheme="minorHAnsi" w:cstheme="minorHAnsi"/>
          </w:rPr>
          <w:t>S</w:t>
        </w:r>
        <w:r w:rsidR="00111D89">
          <w:rPr>
            <w:rStyle w:val="Hyperlink"/>
            <w:rFonts w:asciiTheme="minorHAnsi" w:hAnsiTheme="minorHAnsi" w:cstheme="minorHAnsi"/>
          </w:rPr>
          <w:t xml:space="preserve">enate </w:t>
        </w:r>
        <w:r w:rsidRPr="00111D89">
          <w:rPr>
            <w:rStyle w:val="Hyperlink"/>
            <w:rFonts w:asciiTheme="minorHAnsi" w:hAnsiTheme="minorHAnsi" w:cstheme="minorHAnsi"/>
          </w:rPr>
          <w:t>B</w:t>
        </w:r>
        <w:r w:rsidR="00111D89">
          <w:rPr>
            <w:rStyle w:val="Hyperlink"/>
            <w:rFonts w:asciiTheme="minorHAnsi" w:hAnsiTheme="minorHAnsi" w:cstheme="minorHAnsi"/>
          </w:rPr>
          <w:t>ill</w:t>
        </w:r>
        <w:r w:rsidRPr="00111D89">
          <w:rPr>
            <w:rStyle w:val="Hyperlink"/>
            <w:rFonts w:asciiTheme="minorHAnsi" w:hAnsiTheme="minorHAnsi" w:cstheme="minorHAnsi"/>
          </w:rPr>
          <w:t xml:space="preserve"> 223</w:t>
        </w:r>
      </w:hyperlink>
      <w:r w:rsidRPr="006A2D10">
        <w:rPr>
          <w:rFonts w:asciiTheme="minorHAnsi" w:hAnsiTheme="minorHAnsi" w:cstheme="minorHAnsi"/>
        </w:rPr>
        <w:t xml:space="preserve"> (Ch. 175, Stats. 2024)  authorized local education agencies to offer the CWA Added Authorization.  These institutions will design their programs to align to these new CWA standards and performance expectations. Any Commission-approved program sponsor may add the CWA added authorization program through the Commission’s </w:t>
      </w:r>
      <w:hyperlink r:id="rId21" w:tgtFrame="_blank" w:history="1">
        <w:r w:rsidRPr="006A2D10">
          <w:rPr>
            <w:rStyle w:val="Hyperlink"/>
            <w:rFonts w:asciiTheme="minorHAnsi" w:hAnsiTheme="minorHAnsi" w:cstheme="minorHAnsi"/>
          </w:rPr>
          <w:t>Initial Program Review</w:t>
        </w:r>
      </w:hyperlink>
      <w:r w:rsidRPr="006A2D10">
        <w:rPr>
          <w:rFonts w:asciiTheme="minorHAnsi" w:hAnsiTheme="minorHAnsi" w:cstheme="minorHAnsi"/>
        </w:rPr>
        <w:t xml:space="preserve"> process. </w:t>
      </w:r>
    </w:p>
    <w:p w14:paraId="08F8CBE1" w14:textId="77777777" w:rsidR="0095083B" w:rsidRDefault="0095083B" w:rsidP="008248BC">
      <w:pPr>
        <w:pStyle w:val="Heading2"/>
      </w:pPr>
    </w:p>
    <w:p w14:paraId="0B414638" w14:textId="77777777" w:rsidR="0095083B" w:rsidRDefault="0095083B">
      <w:pPr>
        <w:rPr>
          <w:rFonts w:asciiTheme="minorHAnsi" w:hAnsiTheme="minorHAnsi" w:cstheme="minorHAnsi"/>
          <w:b/>
          <w:bCs/>
          <w:i/>
          <w:iCs/>
          <w:sz w:val="32"/>
          <w:szCs w:val="32"/>
        </w:rPr>
      </w:pPr>
      <w:r>
        <w:br w:type="page"/>
      </w:r>
    </w:p>
    <w:p w14:paraId="4CE8FA7F" w14:textId="3FBB224C" w:rsidR="008248BC" w:rsidRPr="008F1802" w:rsidRDefault="008248BC" w:rsidP="4B47A4BF">
      <w:pPr>
        <w:pStyle w:val="Heading2"/>
      </w:pPr>
      <w:bookmarkStart w:id="31" w:name="_Toc178259250"/>
      <w:r w:rsidRPr="008F1802">
        <w:lastRenderedPageBreak/>
        <w:t xml:space="preserve">Pupil Personnel Services: </w:t>
      </w:r>
      <w:r w:rsidR="00282FE1">
        <w:t xml:space="preserve">Child Welfare and Attendance </w:t>
      </w:r>
    </w:p>
    <w:p w14:paraId="4E218A25" w14:textId="556EA3B9" w:rsidR="008248BC" w:rsidRPr="008F1802" w:rsidRDefault="00282FE1" w:rsidP="008248BC">
      <w:pPr>
        <w:pStyle w:val="Heading2"/>
      </w:pPr>
      <w:r>
        <w:t>Added Authorization</w:t>
      </w:r>
      <w:r w:rsidR="008248BC" w:rsidRPr="008F1802">
        <w:t xml:space="preserve"> Preconditions</w:t>
      </w:r>
      <w:bookmarkEnd w:id="24"/>
      <w:bookmarkEnd w:id="25"/>
      <w:bookmarkEnd w:id="26"/>
      <w:bookmarkEnd w:id="27"/>
      <w:bookmarkEnd w:id="31"/>
    </w:p>
    <w:p w14:paraId="77BD91B1" w14:textId="77777777" w:rsidR="008248BC" w:rsidRPr="008F1802" w:rsidRDefault="008248BC" w:rsidP="008248BC">
      <w:pPr>
        <w:contextualSpacing/>
        <w:jc w:val="center"/>
        <w:rPr>
          <w:rFonts w:asciiTheme="minorHAnsi" w:hAnsiTheme="minorHAnsi" w:cstheme="minorHAnsi"/>
          <w:b/>
        </w:rPr>
      </w:pPr>
    </w:p>
    <w:p w14:paraId="3E8B34DA" w14:textId="53AE9EB3" w:rsidR="008248BC" w:rsidRPr="008F1802" w:rsidRDefault="007568F6" w:rsidP="008248BC">
      <w:pPr>
        <w:pStyle w:val="Default"/>
        <w:numPr>
          <w:ilvl w:val="0"/>
          <w:numId w:val="43"/>
        </w:numPr>
        <w:ind w:left="450"/>
        <w:contextualSpacing/>
        <w:rPr>
          <w:rFonts w:asciiTheme="minorHAnsi" w:eastAsia="Calibri" w:hAnsiTheme="minorHAnsi" w:cstheme="minorHAnsi"/>
        </w:rPr>
      </w:pPr>
      <w:r>
        <w:rPr>
          <w:rFonts w:asciiTheme="minorHAnsi" w:eastAsia="Calibri" w:hAnsiTheme="minorHAnsi" w:cstheme="minorHAnsi"/>
          <w:b/>
        </w:rPr>
        <w:t>Prerequisite Credential</w:t>
      </w:r>
      <w:r w:rsidR="008248BC" w:rsidRPr="008F1802">
        <w:rPr>
          <w:rFonts w:asciiTheme="minorHAnsi" w:eastAsia="Calibri" w:hAnsiTheme="minorHAnsi" w:cstheme="minorHAnsi"/>
          <w:b/>
        </w:rPr>
        <w:t xml:space="preserve"> </w:t>
      </w:r>
      <w:r w:rsidR="00BE2D47">
        <w:rPr>
          <w:rFonts w:asciiTheme="minorHAnsi" w:hAnsiTheme="minorHAnsi" w:cstheme="minorHAnsi"/>
        </w:rPr>
        <w:t>[</w:t>
      </w:r>
      <w:r w:rsidR="008248BC" w:rsidRPr="008F1802">
        <w:rPr>
          <w:rFonts w:asciiTheme="minorHAnsi" w:hAnsiTheme="minorHAnsi" w:cstheme="minorHAnsi"/>
        </w:rPr>
        <w:t>Ed Code §</w:t>
      </w:r>
      <w:r w:rsidR="00BE2D47">
        <w:rPr>
          <w:rFonts w:asciiTheme="minorHAnsi" w:hAnsiTheme="minorHAnsi" w:cstheme="minorHAnsi"/>
        </w:rPr>
        <w:t>80049 (a)]</w:t>
      </w:r>
    </w:p>
    <w:p w14:paraId="7D776B47" w14:textId="5519BA31" w:rsidR="008248BC" w:rsidRPr="008F1802" w:rsidRDefault="00C52B2A" w:rsidP="008248BC">
      <w:pPr>
        <w:pStyle w:val="Default"/>
        <w:ind w:left="450"/>
        <w:rPr>
          <w:rFonts w:asciiTheme="minorHAnsi" w:eastAsia="Calibri" w:hAnsiTheme="minorHAnsi" w:cstheme="minorHAnsi"/>
        </w:rPr>
      </w:pPr>
      <w:r>
        <w:rPr>
          <w:rFonts w:asciiTheme="minorHAnsi" w:hAnsiTheme="minorHAnsi" w:cstheme="minorHAnsi"/>
        </w:rPr>
        <w:t>An institution operating a program for the Child Welfare and Attendance Added Authorization must verify, prior to recommending a candidate for the authorization, that the candidate holds a pre</w:t>
      </w:r>
      <w:r w:rsidR="004E6B94">
        <w:rPr>
          <w:rFonts w:asciiTheme="minorHAnsi" w:hAnsiTheme="minorHAnsi" w:cstheme="minorHAnsi"/>
        </w:rPr>
        <w:t>requisite credential or is recommended for a prerequisite credential simultaneously</w:t>
      </w:r>
      <w:r w:rsidR="008248BC" w:rsidRPr="008F1802">
        <w:rPr>
          <w:rFonts w:asciiTheme="minorHAnsi" w:hAnsiTheme="minorHAnsi" w:cstheme="minorHAnsi"/>
        </w:rPr>
        <w:t>.</w:t>
      </w:r>
      <w:r w:rsidR="004E6B94">
        <w:rPr>
          <w:rFonts w:asciiTheme="minorHAnsi" w:hAnsiTheme="minorHAnsi" w:cstheme="minorHAnsi"/>
        </w:rPr>
        <w:t xml:space="preserve"> </w:t>
      </w:r>
      <w:r w:rsidR="00946073" w:rsidRPr="00946073">
        <w:rPr>
          <w:rFonts w:asciiTheme="minorHAnsi" w:hAnsiTheme="minorHAnsi" w:cstheme="minorHAnsi"/>
        </w:rPr>
        <w:t xml:space="preserve">Individuals seeking the School Child Welfare and Attendance </w:t>
      </w:r>
      <w:r w:rsidR="00946073">
        <w:rPr>
          <w:rFonts w:asciiTheme="minorHAnsi" w:hAnsiTheme="minorHAnsi" w:cstheme="minorHAnsi"/>
        </w:rPr>
        <w:t>added authorization</w:t>
      </w:r>
      <w:r w:rsidR="00946073" w:rsidRPr="00946073">
        <w:rPr>
          <w:rFonts w:asciiTheme="minorHAnsi" w:hAnsiTheme="minorHAnsi" w:cstheme="minorHAnsi"/>
        </w:rPr>
        <w:t xml:space="preserve"> must hold </w:t>
      </w:r>
      <w:r w:rsidR="004E6B94" w:rsidRPr="004E6B94">
        <w:rPr>
          <w:rFonts w:asciiTheme="minorHAnsi" w:hAnsiTheme="minorHAnsi" w:cstheme="minorHAnsi"/>
        </w:rPr>
        <w:t>or be issued concurrently an authorization in School Counseling, School Social Work, or School Psychology</w:t>
      </w:r>
      <w:r w:rsidR="00B96DB9">
        <w:rPr>
          <w:rFonts w:asciiTheme="minorHAnsi" w:hAnsiTheme="minorHAnsi" w:cstheme="minorHAnsi"/>
        </w:rPr>
        <w:t>.</w:t>
      </w:r>
    </w:p>
    <w:p w14:paraId="695B8C0F" w14:textId="77777777" w:rsidR="008248BC" w:rsidRPr="008F1802" w:rsidRDefault="008248BC" w:rsidP="008248BC">
      <w:pPr>
        <w:pStyle w:val="Default"/>
        <w:ind w:left="360"/>
        <w:rPr>
          <w:rFonts w:asciiTheme="minorHAnsi" w:eastAsia="Calibri" w:hAnsiTheme="minorHAnsi" w:cstheme="minorHAnsi"/>
          <w:i/>
          <w:iCs/>
        </w:rPr>
      </w:pPr>
    </w:p>
    <w:p w14:paraId="69D1A590" w14:textId="77777777" w:rsidR="00BE2D47" w:rsidRDefault="00BE2D47">
      <w:pPr>
        <w:rPr>
          <w:rFonts w:asciiTheme="minorHAnsi" w:eastAsia="Cambria" w:hAnsiTheme="minorHAnsi" w:cstheme="minorHAnsi"/>
          <w:b/>
          <w:bCs/>
          <w:i/>
          <w:iCs/>
          <w:sz w:val="32"/>
          <w:szCs w:val="32"/>
        </w:rPr>
      </w:pPr>
      <w:bookmarkStart w:id="32" w:name="_Toc178259251"/>
      <w:r>
        <w:rPr>
          <w:rFonts w:eastAsia="Cambria"/>
        </w:rPr>
        <w:br w:type="page"/>
      </w:r>
    </w:p>
    <w:p w14:paraId="65AC18FC" w14:textId="5B190495" w:rsidR="00ED183F" w:rsidRDefault="00EC7A46" w:rsidP="00897BB9">
      <w:pPr>
        <w:pStyle w:val="Heading2"/>
        <w:spacing w:before="0"/>
        <w:rPr>
          <w:rFonts w:eastAsia="Cambria"/>
        </w:rPr>
      </w:pPr>
      <w:r w:rsidRPr="008F1802">
        <w:rPr>
          <w:rFonts w:eastAsia="Cambria"/>
        </w:rPr>
        <w:lastRenderedPageBreak/>
        <w:t>Pupil Personnel Services</w:t>
      </w:r>
      <w:r w:rsidR="005205FE" w:rsidRPr="008F1802">
        <w:rPr>
          <w:rFonts w:eastAsia="Cambria"/>
        </w:rPr>
        <w:t>:</w:t>
      </w:r>
      <w:r w:rsidRPr="008F1802">
        <w:rPr>
          <w:rFonts w:eastAsia="Cambria"/>
        </w:rPr>
        <w:t xml:space="preserve"> </w:t>
      </w:r>
      <w:bookmarkStart w:id="33" w:name="ProgStds"/>
      <w:r w:rsidR="00275995" w:rsidRPr="008F1802">
        <w:rPr>
          <w:rFonts w:eastAsia="Cambria"/>
        </w:rPr>
        <w:t>Child Welfare and Attendance</w:t>
      </w:r>
      <w:bookmarkEnd w:id="32"/>
      <w:r w:rsidR="00275995" w:rsidRPr="008F1802">
        <w:rPr>
          <w:rFonts w:eastAsia="Cambria"/>
        </w:rPr>
        <w:t xml:space="preserve"> </w:t>
      </w:r>
    </w:p>
    <w:p w14:paraId="4E2154E8" w14:textId="77777777" w:rsidR="00ED183F" w:rsidRDefault="00275995" w:rsidP="00897BB9">
      <w:pPr>
        <w:pStyle w:val="Heading2"/>
        <w:spacing w:before="0"/>
        <w:rPr>
          <w:rFonts w:eastAsia="Cambria"/>
        </w:rPr>
      </w:pPr>
      <w:bookmarkStart w:id="34" w:name="_Toc178259252"/>
      <w:r w:rsidRPr="008F1802">
        <w:rPr>
          <w:rFonts w:eastAsia="Cambria"/>
        </w:rPr>
        <w:t xml:space="preserve">Added Authorization </w:t>
      </w:r>
      <w:r w:rsidR="00EC7A46" w:rsidRPr="008F1802">
        <w:rPr>
          <w:rFonts w:eastAsia="Cambria"/>
        </w:rPr>
        <w:t>Program Standards</w:t>
      </w:r>
      <w:bookmarkEnd w:id="28"/>
      <w:bookmarkEnd w:id="29"/>
      <w:bookmarkEnd w:id="30"/>
      <w:r w:rsidR="00ED183F">
        <w:rPr>
          <w:rFonts w:eastAsia="Cambria"/>
        </w:rPr>
        <w:t xml:space="preserve"> and</w:t>
      </w:r>
      <w:bookmarkEnd w:id="34"/>
      <w:r w:rsidR="00ED183F">
        <w:rPr>
          <w:rFonts w:eastAsia="Cambria"/>
        </w:rPr>
        <w:t xml:space="preserve"> </w:t>
      </w:r>
    </w:p>
    <w:p w14:paraId="26B2C702" w14:textId="1647735C" w:rsidR="00EC7A46" w:rsidRDefault="00ED183F" w:rsidP="00897BB9">
      <w:pPr>
        <w:pStyle w:val="Heading2"/>
        <w:spacing w:before="0"/>
        <w:rPr>
          <w:rFonts w:eastAsia="Cambria"/>
        </w:rPr>
      </w:pPr>
      <w:bookmarkStart w:id="35" w:name="_Toc178259253"/>
      <w:r>
        <w:rPr>
          <w:rFonts w:eastAsia="Cambria"/>
        </w:rPr>
        <w:t>Performance Expectations</w:t>
      </w:r>
      <w:bookmarkEnd w:id="35"/>
    </w:p>
    <w:p w14:paraId="1616B13A" w14:textId="77777777" w:rsidR="00FE5C0A" w:rsidRDefault="00FE5C0A" w:rsidP="00FE5C0A">
      <w:pPr>
        <w:rPr>
          <w:rFonts w:eastAsia="Cambria"/>
          <w:lang w:val="en"/>
        </w:rPr>
      </w:pPr>
    </w:p>
    <w:tbl>
      <w:tblPr>
        <w:tblStyle w:val="TableGrid"/>
        <w:tblpPr w:leftFromText="180" w:rightFromText="180" w:vertAnchor="text" w:tblpXSpec="right" w:tblpY="1"/>
        <w:tblOverlap w:val="never"/>
        <w:tblW w:w="10170" w:type="dxa"/>
        <w:tblLook w:val="04A0" w:firstRow="1" w:lastRow="0" w:firstColumn="1" w:lastColumn="0" w:noHBand="0" w:noVBand="1"/>
      </w:tblPr>
      <w:tblGrid>
        <w:gridCol w:w="1722"/>
        <w:gridCol w:w="3885"/>
        <w:gridCol w:w="4563"/>
      </w:tblGrid>
      <w:tr w:rsidR="002B4851" w:rsidRPr="002B4851" w14:paraId="170283C7" w14:textId="77777777" w:rsidTr="763F0BF3">
        <w:trPr>
          <w:trHeight w:val="291"/>
          <w:tblHeader/>
        </w:trPr>
        <w:tc>
          <w:tcPr>
            <w:tcW w:w="1722" w:type="dxa"/>
          </w:tcPr>
          <w:p w14:paraId="7B7210B9" w14:textId="77777777" w:rsidR="002B4851" w:rsidRPr="002B4851" w:rsidRDefault="002B4851" w:rsidP="00D954AC">
            <w:pPr>
              <w:rPr>
                <w:rFonts w:asciiTheme="minorHAnsi" w:hAnsiTheme="minorHAnsi" w:cstheme="minorHAnsi"/>
                <w:b/>
                <w:bCs/>
              </w:rPr>
            </w:pPr>
            <w:r w:rsidRPr="002B4851">
              <w:rPr>
                <w:rFonts w:asciiTheme="minorHAnsi" w:hAnsiTheme="minorHAnsi" w:cstheme="minorHAnsi"/>
                <w:b/>
                <w:bCs/>
              </w:rPr>
              <w:t>Standard</w:t>
            </w:r>
          </w:p>
        </w:tc>
        <w:tc>
          <w:tcPr>
            <w:tcW w:w="3885" w:type="dxa"/>
          </w:tcPr>
          <w:p w14:paraId="61F87CAB" w14:textId="599EEAB3" w:rsidR="002B4851" w:rsidRPr="002B4851" w:rsidRDefault="002B4851" w:rsidP="00D954AC">
            <w:pPr>
              <w:rPr>
                <w:rFonts w:asciiTheme="minorHAnsi" w:hAnsiTheme="minorHAnsi" w:cstheme="minorHAnsi"/>
                <w:b/>
                <w:bCs/>
              </w:rPr>
            </w:pPr>
            <w:r w:rsidRPr="002B4851">
              <w:rPr>
                <w:rFonts w:asciiTheme="minorHAnsi" w:hAnsiTheme="minorHAnsi" w:cstheme="minorHAnsi"/>
                <w:b/>
                <w:bCs/>
              </w:rPr>
              <w:t>Standard Language</w:t>
            </w:r>
          </w:p>
        </w:tc>
        <w:tc>
          <w:tcPr>
            <w:tcW w:w="4563" w:type="dxa"/>
          </w:tcPr>
          <w:p w14:paraId="14D3A8E1" w14:textId="6B1C3D6E" w:rsidR="002B4851" w:rsidRPr="002B4851" w:rsidRDefault="002B4851" w:rsidP="00D954AC">
            <w:pPr>
              <w:rPr>
                <w:rFonts w:asciiTheme="minorHAnsi" w:hAnsiTheme="minorHAnsi" w:cstheme="minorHAnsi"/>
                <w:b/>
                <w:bCs/>
              </w:rPr>
            </w:pPr>
            <w:r w:rsidRPr="002B4851">
              <w:rPr>
                <w:rFonts w:asciiTheme="minorHAnsi" w:hAnsiTheme="minorHAnsi" w:cstheme="minorHAnsi"/>
                <w:b/>
                <w:bCs/>
              </w:rPr>
              <w:t>Performance Expectations</w:t>
            </w:r>
          </w:p>
        </w:tc>
      </w:tr>
      <w:tr w:rsidR="002B4851" w:rsidRPr="002B4851" w14:paraId="26E89209" w14:textId="77777777" w:rsidTr="763F0BF3">
        <w:trPr>
          <w:trHeight w:val="953"/>
        </w:trPr>
        <w:tc>
          <w:tcPr>
            <w:tcW w:w="1722" w:type="dxa"/>
          </w:tcPr>
          <w:p w14:paraId="56861A12" w14:textId="77777777" w:rsidR="002B4851" w:rsidRPr="00DE337E" w:rsidRDefault="002B4851" w:rsidP="00D954AC">
            <w:pPr>
              <w:pStyle w:val="Heading3"/>
            </w:pPr>
            <w:bookmarkStart w:id="36" w:name="_Toc178259254"/>
            <w:r w:rsidRPr="00DE337E">
              <w:t>Standard 1: Child Welfare and Attendance Program Design, Rationale and Foundation</w:t>
            </w:r>
            <w:bookmarkEnd w:id="36"/>
          </w:p>
        </w:tc>
        <w:tc>
          <w:tcPr>
            <w:tcW w:w="3885" w:type="dxa"/>
          </w:tcPr>
          <w:p w14:paraId="71A307E4"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The program provides candidates with knowledge, skills, and abilities based in data driven practice that include historical, legal, and philosophical understandings and are informed by current needs in Child Welfare and Attendance for evidence-based practice and decision making.</w:t>
            </w:r>
          </w:p>
        </w:tc>
        <w:tc>
          <w:tcPr>
            <w:tcW w:w="4563" w:type="dxa"/>
          </w:tcPr>
          <w:p w14:paraId="1672B07D"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b/>
                <w:bCs/>
              </w:rPr>
              <w:t>CWAPE 1.1</w:t>
            </w:r>
            <w:r w:rsidRPr="002B4851">
              <w:rPr>
                <w:rFonts w:asciiTheme="minorHAnsi" w:hAnsiTheme="minorHAnsi" w:cstheme="minorHAnsi"/>
              </w:rPr>
              <w:t xml:space="preserve"> Candidates demonstrate knowledge of empirically validated child welfare attendance practices and programs to improve school attendance and promote social and emotional well-being.</w:t>
            </w:r>
          </w:p>
          <w:p w14:paraId="48E96C39" w14:textId="77777777" w:rsidR="002B4851" w:rsidRPr="002B4851" w:rsidRDefault="002B4851" w:rsidP="00D954AC">
            <w:pPr>
              <w:rPr>
                <w:rFonts w:asciiTheme="minorHAnsi" w:hAnsiTheme="minorHAnsi" w:cstheme="minorHAnsi"/>
              </w:rPr>
            </w:pPr>
          </w:p>
          <w:p w14:paraId="3DE9A51E"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1.2</w:t>
            </w:r>
            <w:r w:rsidRPr="002B4851">
              <w:rPr>
                <w:rFonts w:asciiTheme="minorHAnsi" w:hAnsiTheme="minorHAnsi" w:cstheme="minorHAnsi"/>
              </w:rPr>
              <w:t xml:space="preserve"> Candidates understand and articulate the state laws and obligations regarding mandated reporting for children, adolescents, and dependent adults.</w:t>
            </w:r>
          </w:p>
          <w:p w14:paraId="477044A4" w14:textId="77777777" w:rsidR="002B4851" w:rsidRPr="002B4851" w:rsidRDefault="002B4851" w:rsidP="00D954AC">
            <w:pPr>
              <w:rPr>
                <w:rFonts w:asciiTheme="minorHAnsi" w:hAnsiTheme="minorHAnsi" w:cstheme="minorHAnsi"/>
              </w:rPr>
            </w:pPr>
          </w:p>
          <w:p w14:paraId="39063220"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1.3</w:t>
            </w:r>
            <w:r w:rsidRPr="002B4851">
              <w:rPr>
                <w:rFonts w:asciiTheme="minorHAnsi" w:hAnsiTheme="minorHAnsi" w:cstheme="minorHAnsi"/>
              </w:rPr>
              <w:t xml:space="preserve"> Candidates identify the factors associated with prevention and intervention strategies to support and ensure equitable access to resources promoting academic achievement, college and career development, and social/emotional development for every student.</w:t>
            </w:r>
          </w:p>
          <w:p w14:paraId="3DBDDAB4" w14:textId="77777777" w:rsidR="002B4851" w:rsidRPr="002B4851" w:rsidRDefault="002B4851" w:rsidP="00D954AC">
            <w:pPr>
              <w:rPr>
                <w:rFonts w:asciiTheme="minorHAnsi" w:hAnsiTheme="minorHAnsi" w:cstheme="minorHAnsi"/>
              </w:rPr>
            </w:pPr>
          </w:p>
          <w:p w14:paraId="377C0681"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1.4</w:t>
            </w:r>
            <w:r w:rsidRPr="002B4851">
              <w:rPr>
                <w:rFonts w:asciiTheme="minorHAnsi" w:hAnsiTheme="minorHAnsi" w:cstheme="minorHAnsi"/>
              </w:rPr>
              <w:t xml:space="preserve"> Candidates demonstrate the ability to build on student motivation, student efficacy, time management, study skills, constructive problem solving, and teacher-student rapport. Candidates utilize Multi-Tiered Systems of Support (MTSS) and apply the MTSS framework to promote social and emotional learning of pupils in a nonjudgmental and inclusive manner.</w:t>
            </w:r>
          </w:p>
          <w:p w14:paraId="2C1257E9" w14:textId="77777777" w:rsidR="002B4851" w:rsidRPr="002B4851" w:rsidRDefault="002B4851" w:rsidP="00D954AC">
            <w:pPr>
              <w:rPr>
                <w:rFonts w:asciiTheme="minorHAnsi" w:hAnsiTheme="minorHAnsi" w:cstheme="minorHAnsi"/>
              </w:rPr>
            </w:pPr>
          </w:p>
          <w:p w14:paraId="56C33F57"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1.5</w:t>
            </w:r>
            <w:r w:rsidRPr="002B4851">
              <w:rPr>
                <w:rFonts w:asciiTheme="minorHAnsi" w:hAnsiTheme="minorHAnsi" w:cstheme="minorHAnsi"/>
              </w:rPr>
              <w:t xml:space="preserve"> Candidates understand and apply approaches that recognize the importance of building on students’ strengths and assets as a foundation for supporting all students, especially historically underserved students including LGBTQIA+, socioeconomically disadvantaged, ethnicity subgroups, English learners, foster youth, homeless youth, </w:t>
            </w:r>
            <w:r w:rsidRPr="002B4851">
              <w:rPr>
                <w:rFonts w:asciiTheme="minorHAnsi" w:hAnsiTheme="minorHAnsi" w:cstheme="minorHAnsi"/>
              </w:rPr>
              <w:lastRenderedPageBreak/>
              <w:t>neurodiverse students, and students with disabilities.</w:t>
            </w:r>
          </w:p>
          <w:p w14:paraId="1B61C134" w14:textId="77777777" w:rsidR="002B4851" w:rsidRPr="002B4851" w:rsidRDefault="002B4851" w:rsidP="00D954AC">
            <w:pPr>
              <w:rPr>
                <w:rFonts w:asciiTheme="minorHAnsi" w:hAnsiTheme="minorHAnsi" w:cstheme="minorHAnsi"/>
              </w:rPr>
            </w:pPr>
          </w:p>
          <w:p w14:paraId="103D9E24"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1.6</w:t>
            </w:r>
            <w:r w:rsidRPr="002B4851">
              <w:rPr>
                <w:rFonts w:asciiTheme="minorHAnsi" w:hAnsiTheme="minorHAnsi" w:cstheme="minorHAnsi"/>
              </w:rPr>
              <w:t xml:space="preserve"> Candidates demonstrate the ability to provide an initial assessment of a student's mental health and strategies and support to advocate for equitable outcomes for each and every student.</w:t>
            </w:r>
          </w:p>
        </w:tc>
      </w:tr>
      <w:tr w:rsidR="002B4851" w:rsidRPr="002B4851" w14:paraId="0D6E31CF" w14:textId="77777777" w:rsidTr="763F0BF3">
        <w:trPr>
          <w:trHeight w:val="1403"/>
        </w:trPr>
        <w:tc>
          <w:tcPr>
            <w:tcW w:w="1722" w:type="dxa"/>
          </w:tcPr>
          <w:p w14:paraId="43373DA2" w14:textId="77777777" w:rsidR="002B4851" w:rsidRPr="002B4851" w:rsidRDefault="002B4851" w:rsidP="00D954AC">
            <w:pPr>
              <w:spacing w:before="60"/>
              <w:rPr>
                <w:rFonts w:asciiTheme="minorHAnsi" w:hAnsiTheme="minorHAnsi" w:cstheme="minorHAnsi"/>
                <w:b/>
                <w:bCs/>
                <w:i/>
                <w:iCs/>
              </w:rPr>
            </w:pPr>
            <w:r w:rsidRPr="002B4851">
              <w:rPr>
                <w:rFonts w:asciiTheme="minorHAnsi" w:hAnsiTheme="minorHAnsi" w:cstheme="minorHAnsi"/>
                <w:b/>
                <w:bCs/>
                <w:i/>
                <w:iCs/>
              </w:rPr>
              <w:lastRenderedPageBreak/>
              <w:t>Standard 2: Professional and Legal Mandates for Child Welfare And Attendance</w:t>
            </w:r>
          </w:p>
        </w:tc>
        <w:tc>
          <w:tcPr>
            <w:tcW w:w="3885" w:type="dxa"/>
          </w:tcPr>
          <w:p w14:paraId="39444BF0"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The program provides candidates with the core foundational knowledge and experiences to implement best practices and strategies in legal, ethical, and professional practice as related to Child Welfare and Attendance.</w:t>
            </w:r>
          </w:p>
        </w:tc>
        <w:tc>
          <w:tcPr>
            <w:tcW w:w="4563" w:type="dxa"/>
          </w:tcPr>
          <w:p w14:paraId="0C221919"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b/>
                <w:bCs/>
              </w:rPr>
              <w:t>CWAPE 2.1</w:t>
            </w:r>
            <w:r w:rsidRPr="002B4851">
              <w:rPr>
                <w:rFonts w:asciiTheme="minorHAnsi" w:hAnsiTheme="minorHAnsi" w:cstheme="minorHAnsi"/>
              </w:rPr>
              <w:t xml:space="preserve"> Candidates have a foundational understanding of and are able to apply key provisions of the laws prescribed in California Education Code, California Code of Regulations, Welfare and Institutions Code, Penal Code, local and civil ordinances, county ordinances, district policies, and relevant federal and state laws as it relates to Child Welfare and Attendance. </w:t>
            </w:r>
          </w:p>
          <w:p w14:paraId="13297E92" w14:textId="77777777" w:rsidR="002B4851" w:rsidRPr="002B4851" w:rsidRDefault="002B4851" w:rsidP="00D954AC">
            <w:pPr>
              <w:rPr>
                <w:rFonts w:asciiTheme="minorHAnsi" w:hAnsiTheme="minorHAnsi" w:cstheme="minorHAnsi"/>
              </w:rPr>
            </w:pPr>
          </w:p>
          <w:p w14:paraId="39E95A24"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2.2</w:t>
            </w:r>
            <w:r w:rsidRPr="002B4851">
              <w:rPr>
                <w:rFonts w:asciiTheme="minorHAnsi" w:hAnsiTheme="minorHAnsi" w:cstheme="minorHAnsi"/>
              </w:rPr>
              <w:t xml:space="preserve"> Candidates apply knowledge of strategies and practices related to legal, ethical, and professional practices for every student group, especially for historically underserved students including LGBTQIA+, students from low socioeconomic backgrounds, ethnicity subgroups, English learners, foster youth, homeless youth, neurodiverse students, and students with disabilities.</w:t>
            </w:r>
          </w:p>
          <w:p w14:paraId="4833EC45" w14:textId="77777777" w:rsidR="002B4851" w:rsidRPr="002B4851" w:rsidRDefault="002B4851" w:rsidP="00D954AC">
            <w:pPr>
              <w:rPr>
                <w:rFonts w:asciiTheme="minorHAnsi" w:hAnsiTheme="minorHAnsi" w:cstheme="minorHAnsi"/>
              </w:rPr>
            </w:pPr>
          </w:p>
          <w:p w14:paraId="0AFC0111"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2.3</w:t>
            </w:r>
            <w:r w:rsidRPr="002B4851">
              <w:rPr>
                <w:rFonts w:asciiTheme="minorHAnsi" w:hAnsiTheme="minorHAnsi" w:cstheme="minorHAnsi"/>
              </w:rPr>
              <w:t xml:space="preserve"> Candidates understand the requirements of maintaining confidentiality of student records, the limits pertaining to maintaining confidentiality, and the legal, professional, and ethical responsibility connected to Child Welfare and Attendance including requirements in IDEA, Section 504 of the Rehabilitation Act of 1973, and the Health Insurance Portability and Accountability Act of 1996 (HIPAA).</w:t>
            </w:r>
          </w:p>
          <w:p w14:paraId="00C18F2B" w14:textId="77777777" w:rsidR="002B4851" w:rsidRPr="002B4851" w:rsidRDefault="002B4851" w:rsidP="00D954AC">
            <w:pPr>
              <w:rPr>
                <w:rFonts w:asciiTheme="minorHAnsi" w:hAnsiTheme="minorHAnsi" w:cstheme="minorHAnsi"/>
              </w:rPr>
            </w:pPr>
          </w:p>
          <w:p w14:paraId="1C9E1B9F"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2.4</w:t>
            </w:r>
            <w:r w:rsidRPr="002B4851">
              <w:rPr>
                <w:rFonts w:asciiTheme="minorHAnsi" w:hAnsiTheme="minorHAnsi" w:cstheme="minorHAnsi"/>
              </w:rPr>
              <w:t xml:space="preserve"> Candidates understand how Child Welfare and Attendance responsibilities intersect with chronic </w:t>
            </w:r>
            <w:r w:rsidRPr="002B4851">
              <w:rPr>
                <w:rFonts w:asciiTheme="minorHAnsi" w:hAnsiTheme="minorHAnsi" w:cstheme="minorHAnsi"/>
              </w:rPr>
              <w:lastRenderedPageBreak/>
              <w:t xml:space="preserve">absenteeism, crisis intervention, and assessment of threats, school safety, school discipline, school climate, restorative practices, social emotional supports, and trauma-informed schools. </w:t>
            </w:r>
          </w:p>
          <w:p w14:paraId="789662AC" w14:textId="77777777" w:rsidR="002B4851" w:rsidRPr="002B4851" w:rsidRDefault="002B4851" w:rsidP="00D954AC">
            <w:pPr>
              <w:rPr>
                <w:rFonts w:asciiTheme="minorHAnsi" w:hAnsiTheme="minorHAnsi" w:cstheme="minorHAnsi"/>
              </w:rPr>
            </w:pPr>
          </w:p>
          <w:p w14:paraId="3C5469DE" w14:textId="77777777" w:rsidR="002B4851" w:rsidRPr="002B4851" w:rsidRDefault="002B4851" w:rsidP="00D954AC">
            <w:pPr>
              <w:spacing w:after="60"/>
              <w:rPr>
                <w:rFonts w:asciiTheme="minorHAnsi" w:hAnsiTheme="minorHAnsi" w:cstheme="minorHAnsi"/>
              </w:rPr>
            </w:pPr>
            <w:r w:rsidRPr="002B4851">
              <w:rPr>
                <w:rFonts w:asciiTheme="minorHAnsi" w:hAnsiTheme="minorHAnsi" w:cstheme="minorHAnsi"/>
                <w:b/>
                <w:bCs/>
              </w:rPr>
              <w:t>CWAPE 2.5</w:t>
            </w:r>
            <w:r w:rsidRPr="002B4851">
              <w:rPr>
                <w:rFonts w:asciiTheme="minorHAnsi" w:hAnsiTheme="minorHAnsi" w:cstheme="minorHAnsi"/>
              </w:rPr>
              <w:t xml:space="preserve"> Candidates examine the key provisions of Family Education Rights and Privacy Act (FERPA) and Elementary and Secondary Education Act (ESEA) as related to the scope of the Child Welfare and Attendance Service Provider.</w:t>
            </w:r>
          </w:p>
        </w:tc>
      </w:tr>
      <w:tr w:rsidR="002B4851" w:rsidRPr="002B4851" w14:paraId="21F368C7" w14:textId="77777777" w:rsidTr="763F0BF3">
        <w:trPr>
          <w:trHeight w:val="6236"/>
        </w:trPr>
        <w:tc>
          <w:tcPr>
            <w:tcW w:w="1722" w:type="dxa"/>
          </w:tcPr>
          <w:p w14:paraId="5779829A" w14:textId="77777777" w:rsidR="002B4851" w:rsidRPr="002B4851" w:rsidRDefault="002B4851" w:rsidP="00D954AC">
            <w:pPr>
              <w:spacing w:before="60"/>
              <w:rPr>
                <w:rFonts w:asciiTheme="minorHAnsi" w:hAnsiTheme="minorHAnsi" w:cstheme="minorHAnsi"/>
                <w:b/>
                <w:bCs/>
                <w:i/>
                <w:iCs/>
              </w:rPr>
            </w:pPr>
            <w:r w:rsidRPr="002B4851">
              <w:rPr>
                <w:rFonts w:asciiTheme="minorHAnsi" w:hAnsiTheme="minorHAnsi" w:cstheme="minorHAnsi"/>
                <w:b/>
                <w:bCs/>
                <w:i/>
                <w:iCs/>
              </w:rPr>
              <w:lastRenderedPageBreak/>
              <w:t>Standard 3: Program Leadership and Management</w:t>
            </w:r>
          </w:p>
        </w:tc>
        <w:tc>
          <w:tcPr>
            <w:tcW w:w="3885" w:type="dxa"/>
          </w:tcPr>
          <w:p w14:paraId="6B9434D2"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Programs provide candidates with the knowledge and opportunities to demonstrate skills applicable to leading and managing child welfare and attendance programs. Programs support candidates in acquiring the knowledge and understanding of the development of goals and management objectives, establishment of communication systems, and the identification and application of resources, case management procedures, and measuring outcomes based in equitable and inclusive practices.</w:t>
            </w:r>
          </w:p>
        </w:tc>
        <w:tc>
          <w:tcPr>
            <w:tcW w:w="4563" w:type="dxa"/>
          </w:tcPr>
          <w:p w14:paraId="2FBB4531"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b/>
                <w:bCs/>
              </w:rPr>
              <w:t>CWAPE 3.1</w:t>
            </w:r>
            <w:r w:rsidRPr="002B4851">
              <w:rPr>
                <w:rFonts w:asciiTheme="minorHAnsi" w:hAnsiTheme="minorHAnsi" w:cstheme="minorHAnsi"/>
              </w:rPr>
              <w:t xml:space="preserve"> Candidates promote social justice, human rights, equity, and inclusion with all students and their families, especially with underserved and marginalized groups, by applying best practices that critically examine existing programs and the equitable distribution of resources.</w:t>
            </w:r>
          </w:p>
          <w:p w14:paraId="3E5A27AB" w14:textId="77777777" w:rsidR="002B4851" w:rsidRPr="002B4851" w:rsidRDefault="002B4851" w:rsidP="00D954AC">
            <w:pPr>
              <w:rPr>
                <w:rFonts w:asciiTheme="minorHAnsi" w:hAnsiTheme="minorHAnsi" w:cstheme="minorHAnsi"/>
              </w:rPr>
            </w:pPr>
          </w:p>
          <w:p w14:paraId="23B08DCF"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3.2</w:t>
            </w:r>
            <w:r w:rsidRPr="002B4851">
              <w:rPr>
                <w:rFonts w:asciiTheme="minorHAnsi" w:hAnsiTheme="minorHAnsi" w:cstheme="minorHAnsi"/>
              </w:rPr>
              <w:t xml:space="preserve"> Candidates assist education partners in developing and implementing a range of culturally responsive opportunities, services, and supportive learning environments in schools to re-engage emotionally, behaviorally, and/or academically disconnected students to promote student engagement and positive school climate. </w:t>
            </w:r>
          </w:p>
          <w:p w14:paraId="473D0B00" w14:textId="77777777" w:rsidR="002B4851" w:rsidRPr="002B4851" w:rsidRDefault="002B4851" w:rsidP="00D954AC">
            <w:pPr>
              <w:rPr>
                <w:rFonts w:asciiTheme="minorHAnsi" w:hAnsiTheme="minorHAnsi" w:cstheme="minorHAnsi"/>
              </w:rPr>
            </w:pPr>
          </w:p>
          <w:p w14:paraId="0BDBDFD0"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3.3</w:t>
            </w:r>
            <w:r w:rsidRPr="002B4851">
              <w:rPr>
                <w:rFonts w:asciiTheme="minorHAnsi" w:hAnsiTheme="minorHAnsi" w:cstheme="minorHAnsi"/>
              </w:rPr>
              <w:t xml:space="preserve"> Candidates consult and collaborate with the PPS team and other education partners in the school community to promote positive discipline, trauma-informed practices, and culturally-responsive practices that contribute to student social and emotional well-being.</w:t>
            </w:r>
          </w:p>
          <w:p w14:paraId="0D25D5C1" w14:textId="77777777" w:rsidR="002B4851" w:rsidRPr="002B4851" w:rsidRDefault="002B4851" w:rsidP="00D954AC">
            <w:pPr>
              <w:rPr>
                <w:rFonts w:asciiTheme="minorHAnsi" w:hAnsiTheme="minorHAnsi" w:cstheme="minorHAnsi"/>
              </w:rPr>
            </w:pPr>
          </w:p>
          <w:p w14:paraId="7F860083"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3.4</w:t>
            </w:r>
            <w:r w:rsidRPr="002B4851">
              <w:rPr>
                <w:rFonts w:asciiTheme="minorHAnsi" w:hAnsiTheme="minorHAnsi" w:cstheme="minorHAnsi"/>
              </w:rPr>
              <w:t xml:space="preserve"> Candidates have knowledge of principles and research related to resilience and risk factors, mental health services in schools and communities, school response </w:t>
            </w:r>
            <w:r w:rsidRPr="002B4851">
              <w:rPr>
                <w:rFonts w:asciiTheme="minorHAnsi" w:hAnsiTheme="minorHAnsi" w:cstheme="minorHAnsi"/>
              </w:rPr>
              <w:lastRenderedPageBreak/>
              <w:t>and recovery, and discipline policies to support multi-tiered prevention practices.</w:t>
            </w:r>
          </w:p>
          <w:p w14:paraId="52CE92A8" w14:textId="77777777" w:rsidR="002B4851" w:rsidRPr="002B4851" w:rsidRDefault="002B4851" w:rsidP="00D954AC">
            <w:pPr>
              <w:rPr>
                <w:rFonts w:asciiTheme="minorHAnsi" w:hAnsiTheme="minorHAnsi" w:cstheme="minorHAnsi"/>
              </w:rPr>
            </w:pPr>
          </w:p>
          <w:p w14:paraId="59DD149E"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3.5</w:t>
            </w:r>
            <w:r w:rsidRPr="002B4851">
              <w:rPr>
                <w:rFonts w:asciiTheme="minorHAnsi" w:hAnsiTheme="minorHAnsi" w:cstheme="minorHAnsi"/>
              </w:rPr>
              <w:t xml:space="preserve"> Candidates have knowledge of varied methods of assessment and data collection for interpreting data to identify student strengths and needs, developing effective services and programs, measuring progress and outcome data. Candidates demonstrate the ability to share process and perception and apply their findings to design, implement, and evaluate response to services, programs, and interventions.</w:t>
            </w:r>
          </w:p>
          <w:p w14:paraId="116CC638" w14:textId="77777777" w:rsidR="002B4851" w:rsidRPr="002B4851" w:rsidRDefault="002B4851" w:rsidP="00D954AC">
            <w:pPr>
              <w:rPr>
                <w:rFonts w:asciiTheme="minorHAnsi" w:hAnsiTheme="minorHAnsi" w:cstheme="minorHAnsi"/>
              </w:rPr>
            </w:pPr>
          </w:p>
          <w:p w14:paraId="14FD1D80"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3.6</w:t>
            </w:r>
            <w:r w:rsidRPr="002B4851">
              <w:rPr>
                <w:rFonts w:asciiTheme="minorHAnsi" w:hAnsiTheme="minorHAnsi" w:cstheme="minorHAnsi"/>
              </w:rPr>
              <w:t xml:space="preserve"> Candidates have knowledge of parent/caregiver rights and processes associated with Individual Educational Plan (IEP), Section 504 Plan, and other accommodation and modification programs.</w:t>
            </w:r>
          </w:p>
          <w:p w14:paraId="4D617218" w14:textId="77777777" w:rsidR="002B4851" w:rsidRPr="002B4851" w:rsidRDefault="002B4851" w:rsidP="00D954AC">
            <w:pPr>
              <w:rPr>
                <w:rFonts w:asciiTheme="minorHAnsi" w:hAnsiTheme="minorHAnsi" w:cstheme="minorHAnsi"/>
              </w:rPr>
            </w:pPr>
          </w:p>
          <w:p w14:paraId="01C8C344" w14:textId="77777777" w:rsidR="002B4851" w:rsidRDefault="002B4851" w:rsidP="00D954AC">
            <w:pPr>
              <w:spacing w:after="60"/>
              <w:rPr>
                <w:rFonts w:asciiTheme="minorHAnsi" w:hAnsiTheme="minorHAnsi" w:cstheme="minorHAnsi"/>
              </w:rPr>
            </w:pPr>
            <w:r w:rsidRPr="002B4851">
              <w:rPr>
                <w:rFonts w:asciiTheme="minorHAnsi" w:hAnsiTheme="minorHAnsi" w:cstheme="minorHAnsi"/>
                <w:b/>
                <w:bCs/>
              </w:rPr>
              <w:t>CWAPE 3.7</w:t>
            </w:r>
            <w:r w:rsidRPr="002B4851">
              <w:rPr>
                <w:rFonts w:asciiTheme="minorHAnsi" w:hAnsiTheme="minorHAnsi" w:cstheme="minorHAnsi"/>
              </w:rPr>
              <w:t xml:space="preserve"> Candidates demonstrate the ability to apply and implement retention and completion practices as they connect to post-secondary planning, including but not limited to admission to a college or university.</w:t>
            </w:r>
          </w:p>
          <w:p w14:paraId="18101321" w14:textId="77777777" w:rsidR="00D954AC" w:rsidRPr="00D954AC" w:rsidRDefault="00D954AC" w:rsidP="00D954AC">
            <w:pPr>
              <w:rPr>
                <w:rFonts w:asciiTheme="minorHAnsi" w:hAnsiTheme="minorHAnsi" w:cstheme="minorHAnsi"/>
              </w:rPr>
            </w:pPr>
          </w:p>
          <w:p w14:paraId="010CE77D" w14:textId="77777777" w:rsidR="00D954AC" w:rsidRPr="00D954AC" w:rsidRDefault="00D954AC" w:rsidP="00D954AC">
            <w:pPr>
              <w:rPr>
                <w:rFonts w:asciiTheme="minorHAnsi" w:hAnsiTheme="minorHAnsi" w:cstheme="minorHAnsi"/>
              </w:rPr>
            </w:pPr>
          </w:p>
          <w:p w14:paraId="53D65CE9" w14:textId="77777777" w:rsidR="00D954AC" w:rsidRPr="00D954AC" w:rsidRDefault="00D954AC" w:rsidP="00D954AC">
            <w:pPr>
              <w:rPr>
                <w:rFonts w:asciiTheme="minorHAnsi" w:hAnsiTheme="minorHAnsi" w:cstheme="minorHAnsi"/>
              </w:rPr>
            </w:pPr>
          </w:p>
          <w:p w14:paraId="4E80978D" w14:textId="77777777" w:rsidR="00D954AC" w:rsidRPr="00D954AC" w:rsidRDefault="00D954AC" w:rsidP="00D954AC">
            <w:pPr>
              <w:rPr>
                <w:rFonts w:asciiTheme="minorHAnsi" w:hAnsiTheme="minorHAnsi" w:cstheme="minorHAnsi"/>
              </w:rPr>
            </w:pPr>
          </w:p>
          <w:p w14:paraId="3DAD8EE4" w14:textId="77777777" w:rsidR="00D954AC" w:rsidRPr="00D954AC" w:rsidRDefault="00D954AC" w:rsidP="00D954AC">
            <w:pPr>
              <w:rPr>
                <w:rFonts w:asciiTheme="minorHAnsi" w:hAnsiTheme="minorHAnsi" w:cstheme="minorHAnsi"/>
              </w:rPr>
            </w:pPr>
          </w:p>
          <w:p w14:paraId="741BE440" w14:textId="77777777" w:rsidR="00D954AC" w:rsidRPr="00D954AC" w:rsidRDefault="00D954AC" w:rsidP="00D954AC">
            <w:pPr>
              <w:rPr>
                <w:rFonts w:asciiTheme="minorHAnsi" w:hAnsiTheme="minorHAnsi" w:cstheme="minorHAnsi"/>
              </w:rPr>
            </w:pPr>
          </w:p>
          <w:p w14:paraId="29AF3632" w14:textId="77777777" w:rsidR="00D954AC" w:rsidRPr="00D954AC" w:rsidRDefault="00D954AC" w:rsidP="00D954AC">
            <w:pPr>
              <w:rPr>
                <w:rFonts w:asciiTheme="minorHAnsi" w:hAnsiTheme="minorHAnsi" w:cstheme="minorHAnsi"/>
              </w:rPr>
            </w:pPr>
          </w:p>
          <w:p w14:paraId="5629D373" w14:textId="77777777" w:rsidR="00D954AC" w:rsidRPr="00D954AC" w:rsidRDefault="00D954AC" w:rsidP="00D954AC">
            <w:pPr>
              <w:rPr>
                <w:rFonts w:asciiTheme="minorHAnsi" w:hAnsiTheme="minorHAnsi" w:cstheme="minorHAnsi"/>
              </w:rPr>
            </w:pPr>
          </w:p>
          <w:p w14:paraId="5FE215AC" w14:textId="77777777" w:rsidR="00D954AC" w:rsidRPr="00D954AC" w:rsidRDefault="00D954AC" w:rsidP="00D954AC">
            <w:pPr>
              <w:rPr>
                <w:rFonts w:asciiTheme="minorHAnsi" w:hAnsiTheme="minorHAnsi" w:cstheme="minorHAnsi"/>
              </w:rPr>
            </w:pPr>
          </w:p>
          <w:p w14:paraId="2E62DE35" w14:textId="77777777" w:rsidR="00D954AC" w:rsidRPr="00D954AC" w:rsidRDefault="00D954AC" w:rsidP="00D954AC">
            <w:pPr>
              <w:rPr>
                <w:rFonts w:asciiTheme="minorHAnsi" w:hAnsiTheme="minorHAnsi" w:cstheme="minorHAnsi"/>
              </w:rPr>
            </w:pPr>
          </w:p>
        </w:tc>
      </w:tr>
      <w:tr w:rsidR="002B4851" w:rsidRPr="002B4851" w14:paraId="44A82C46" w14:textId="77777777" w:rsidTr="00F05B34">
        <w:trPr>
          <w:trHeight w:val="3201"/>
        </w:trPr>
        <w:tc>
          <w:tcPr>
            <w:tcW w:w="1722" w:type="dxa"/>
          </w:tcPr>
          <w:p w14:paraId="120765C0" w14:textId="77777777" w:rsidR="002B4851" w:rsidRPr="002B4851" w:rsidRDefault="002B4851" w:rsidP="00D954AC">
            <w:pPr>
              <w:spacing w:before="60"/>
              <w:rPr>
                <w:rFonts w:asciiTheme="minorHAnsi" w:hAnsiTheme="minorHAnsi" w:cstheme="minorHAnsi"/>
                <w:b/>
                <w:bCs/>
                <w:i/>
                <w:iCs/>
              </w:rPr>
            </w:pPr>
            <w:r w:rsidRPr="002B4851">
              <w:rPr>
                <w:rFonts w:asciiTheme="minorHAnsi" w:hAnsiTheme="minorHAnsi" w:cstheme="minorHAnsi"/>
                <w:b/>
                <w:bCs/>
                <w:i/>
                <w:iCs/>
              </w:rPr>
              <w:lastRenderedPageBreak/>
              <w:t>Standard 4: Collaboration and Partnerships</w:t>
            </w:r>
          </w:p>
        </w:tc>
        <w:tc>
          <w:tcPr>
            <w:tcW w:w="3885" w:type="dxa"/>
          </w:tcPr>
          <w:p w14:paraId="40D726DB"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The program supports candidates in understanding the responsibility of maintaining confidentiality of students’ records and knowledge and skill acquisition relating to developing, utilizing and maintaining inter- and intra-agency collaboration and partnerships with organizations and  community agencies that may include but are not limited to: education organizations; juvenile justice courts; law enforcement; healthcare providers; mental health agencies; probation and children and family services.</w:t>
            </w:r>
          </w:p>
        </w:tc>
        <w:tc>
          <w:tcPr>
            <w:tcW w:w="4563" w:type="dxa"/>
          </w:tcPr>
          <w:p w14:paraId="18FA6A91"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b/>
                <w:bCs/>
              </w:rPr>
              <w:t>CWAPE 4.1</w:t>
            </w:r>
            <w:r w:rsidRPr="002B4851">
              <w:rPr>
                <w:rFonts w:asciiTheme="minorHAnsi" w:hAnsiTheme="minorHAnsi" w:cstheme="minorHAnsi"/>
              </w:rPr>
              <w:t xml:space="preserve"> Candidates understand the responsibility of maintaining confidentiality of student records as well as ethical considerations regarding student relationships, limits pertaining to maintaining confidentiality, and the legal responsibilities within child welfare and attendance.</w:t>
            </w:r>
          </w:p>
          <w:p w14:paraId="59D6E955" w14:textId="77777777" w:rsidR="002B4851" w:rsidRPr="002B4851" w:rsidRDefault="002B4851" w:rsidP="00D954AC">
            <w:pPr>
              <w:rPr>
                <w:rFonts w:asciiTheme="minorHAnsi" w:hAnsiTheme="minorHAnsi" w:cstheme="minorHAnsi"/>
              </w:rPr>
            </w:pPr>
          </w:p>
          <w:p w14:paraId="24C2459C"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4.2</w:t>
            </w:r>
            <w:r w:rsidRPr="002B4851">
              <w:rPr>
                <w:rFonts w:asciiTheme="minorHAnsi" w:hAnsiTheme="minorHAnsi" w:cstheme="minorHAnsi"/>
              </w:rPr>
              <w:t xml:space="preserve"> Candidates display professional dispositions related to conduct, communication, demeanor, written/oral presentation with community organizations and agencies.</w:t>
            </w:r>
          </w:p>
          <w:p w14:paraId="4BF54272" w14:textId="77777777" w:rsidR="002B4851" w:rsidRPr="002B4851" w:rsidRDefault="002B4851" w:rsidP="00D954AC">
            <w:pPr>
              <w:rPr>
                <w:rFonts w:asciiTheme="minorHAnsi" w:hAnsiTheme="minorHAnsi" w:cstheme="minorHAnsi"/>
              </w:rPr>
            </w:pPr>
          </w:p>
          <w:p w14:paraId="1B02E1EA"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4.3</w:t>
            </w:r>
            <w:r w:rsidRPr="002B4851">
              <w:rPr>
                <w:rFonts w:asciiTheme="minorHAnsi" w:hAnsiTheme="minorHAnsi" w:cstheme="minorHAnsi"/>
              </w:rPr>
              <w:t xml:space="preserve"> Candidates understand the organization and structure of schools as part of district, county, and state educational systems and can promote effective coordination and implementation of all relevant services. </w:t>
            </w:r>
          </w:p>
          <w:p w14:paraId="58A180F5" w14:textId="77777777" w:rsidR="002B4851" w:rsidRPr="002B4851" w:rsidRDefault="002B4851" w:rsidP="00D954AC">
            <w:pPr>
              <w:rPr>
                <w:rFonts w:asciiTheme="minorHAnsi" w:hAnsiTheme="minorHAnsi" w:cstheme="minorHAnsi"/>
              </w:rPr>
            </w:pPr>
          </w:p>
          <w:p w14:paraId="46DD24A0"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4.4</w:t>
            </w:r>
            <w:r w:rsidRPr="002B4851">
              <w:rPr>
                <w:rFonts w:asciiTheme="minorHAnsi" w:hAnsiTheme="minorHAnsi" w:cstheme="minorHAnsi"/>
              </w:rPr>
              <w:t xml:space="preserve"> Candidates articulate and implement the Child Welfare Services Provider responsibilities and understand the systematic and comprehensive process of effective decision-making including the ability to consult, collaborate, and communicate with others during the design, implementation, monitoring, and evaluation of services.</w:t>
            </w:r>
          </w:p>
          <w:p w14:paraId="2CD2DE00" w14:textId="77777777" w:rsidR="002B4851" w:rsidRPr="002B4851" w:rsidRDefault="002B4851" w:rsidP="00D954AC">
            <w:pPr>
              <w:rPr>
                <w:rFonts w:asciiTheme="minorHAnsi" w:hAnsiTheme="minorHAnsi" w:cstheme="minorHAnsi"/>
              </w:rPr>
            </w:pPr>
          </w:p>
          <w:p w14:paraId="309B719B"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4.5</w:t>
            </w:r>
            <w:r w:rsidRPr="002B4851">
              <w:rPr>
                <w:rFonts w:asciiTheme="minorHAnsi" w:hAnsiTheme="minorHAnsi" w:cstheme="minorHAnsi"/>
              </w:rPr>
              <w:t xml:space="preserve"> Candidates engage in multi-disciplinary teams to develop and implement interventions, address barriers, and advocate for equitable services to support child welfare and attendance. Candidates collaborate within a Multi-tiered System of Supports (MTSS) with the PPS team and other school personnel and community support providers that address positive school climate which include crisis prevention, intervention, and postvention.</w:t>
            </w:r>
          </w:p>
          <w:p w14:paraId="56620559" w14:textId="77777777" w:rsidR="002B4851" w:rsidRPr="002B4851" w:rsidRDefault="002B4851" w:rsidP="00D954AC">
            <w:pPr>
              <w:rPr>
                <w:rFonts w:asciiTheme="minorHAnsi" w:hAnsiTheme="minorHAnsi" w:cstheme="minorHAnsi"/>
              </w:rPr>
            </w:pPr>
          </w:p>
          <w:p w14:paraId="09741076" w14:textId="77777777" w:rsidR="002B4851" w:rsidRPr="002B4851" w:rsidRDefault="002B4851" w:rsidP="00D954AC">
            <w:pPr>
              <w:spacing w:after="60"/>
              <w:rPr>
                <w:rFonts w:asciiTheme="minorHAnsi" w:hAnsiTheme="minorHAnsi" w:cstheme="minorHAnsi"/>
              </w:rPr>
            </w:pPr>
            <w:r w:rsidRPr="002B4851">
              <w:rPr>
                <w:rFonts w:asciiTheme="minorHAnsi" w:hAnsiTheme="minorHAnsi" w:cstheme="minorHAnsi"/>
                <w:b/>
                <w:bCs/>
              </w:rPr>
              <w:t>CWAPE 4.6</w:t>
            </w:r>
            <w:r w:rsidRPr="002B4851">
              <w:rPr>
                <w:rFonts w:asciiTheme="minorHAnsi" w:hAnsiTheme="minorHAnsi" w:cstheme="minorHAnsi"/>
              </w:rPr>
              <w:t xml:space="preserve"> Candidates assess the existing services of the school, [e.g., Positive Behavioral Interventions and Supports (PBIS), school mental health programs, plans for students with disabilities, community-based programs, multi-tiered systems of support (MTSS)] to improve student learning, behavior, achievement, and well-being.</w:t>
            </w:r>
          </w:p>
        </w:tc>
      </w:tr>
      <w:tr w:rsidR="002B4851" w:rsidRPr="002B4851" w14:paraId="2C4CBEDA" w14:textId="77777777" w:rsidTr="763F0BF3">
        <w:trPr>
          <w:trHeight w:val="144"/>
        </w:trPr>
        <w:tc>
          <w:tcPr>
            <w:tcW w:w="1722" w:type="dxa"/>
          </w:tcPr>
          <w:p w14:paraId="02B7561F" w14:textId="77777777" w:rsidR="002B4851" w:rsidRPr="002B4851" w:rsidRDefault="002B4851" w:rsidP="00D954AC">
            <w:pPr>
              <w:spacing w:before="60"/>
              <w:rPr>
                <w:rFonts w:asciiTheme="minorHAnsi" w:hAnsiTheme="minorHAnsi" w:cstheme="minorHAnsi"/>
                <w:b/>
                <w:bCs/>
                <w:i/>
                <w:iCs/>
              </w:rPr>
            </w:pPr>
            <w:r w:rsidRPr="002B4851">
              <w:rPr>
                <w:rFonts w:asciiTheme="minorHAnsi" w:hAnsiTheme="minorHAnsi" w:cstheme="minorHAnsi"/>
                <w:b/>
                <w:bCs/>
                <w:i/>
                <w:iCs/>
              </w:rPr>
              <w:lastRenderedPageBreak/>
              <w:t>Standard 5: Assessment and Evaluation of Barriers to Attendance</w:t>
            </w:r>
          </w:p>
        </w:tc>
        <w:tc>
          <w:tcPr>
            <w:tcW w:w="3885" w:type="dxa"/>
          </w:tcPr>
          <w:p w14:paraId="4E6F8AD3"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The program supports candidates in acquiring the knowledge, skills, and abilities to apply practices that assess, evaluate and address barriers to attendance that impact student learning for all students including but not limited to historically underserved and marginalized populations.</w:t>
            </w:r>
          </w:p>
        </w:tc>
        <w:tc>
          <w:tcPr>
            <w:tcW w:w="4563" w:type="dxa"/>
          </w:tcPr>
          <w:p w14:paraId="282D96E6"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b/>
                <w:bCs/>
              </w:rPr>
              <w:t>CWAPE 5.1</w:t>
            </w:r>
            <w:r w:rsidRPr="002B4851">
              <w:rPr>
                <w:rFonts w:asciiTheme="minorHAnsi" w:hAnsiTheme="minorHAnsi" w:cstheme="minorHAnsi"/>
              </w:rPr>
              <w:t xml:space="preserve"> Candidate identify, develop, and apply prevention and intervention programs based on comprehensive student needs assessment to remedy students’ attendance challenges that include strategies to address students experiencing chronic absenteeism, tardiness, and truancy.</w:t>
            </w:r>
          </w:p>
          <w:p w14:paraId="7802C2A7" w14:textId="77777777" w:rsidR="002B4851" w:rsidRPr="002B4851" w:rsidRDefault="002B4851" w:rsidP="00D954AC">
            <w:pPr>
              <w:rPr>
                <w:rFonts w:asciiTheme="minorHAnsi" w:hAnsiTheme="minorHAnsi" w:cstheme="minorHAnsi"/>
              </w:rPr>
            </w:pPr>
          </w:p>
          <w:p w14:paraId="1CF27D5A"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5.2</w:t>
            </w:r>
            <w:r w:rsidRPr="002B4851">
              <w:rPr>
                <w:rFonts w:asciiTheme="minorHAnsi" w:hAnsiTheme="minorHAnsi" w:cstheme="minorHAnsi"/>
              </w:rPr>
              <w:t xml:space="preserve"> Candidates examine and identify factors that impede or limit student attendance that include but are not limited to: issues of systematic racism and social injustice, socioeconomic status, language development, school climate, and discrimination.</w:t>
            </w:r>
          </w:p>
          <w:p w14:paraId="1DBFA2C4" w14:textId="77777777" w:rsidR="002B4851" w:rsidRPr="002B4851" w:rsidRDefault="002B4851" w:rsidP="00D954AC">
            <w:pPr>
              <w:rPr>
                <w:rFonts w:asciiTheme="minorHAnsi" w:hAnsiTheme="minorHAnsi" w:cstheme="minorHAnsi"/>
              </w:rPr>
            </w:pPr>
          </w:p>
          <w:p w14:paraId="5BD3EE1A" w14:textId="77777777" w:rsidR="002B4851" w:rsidRPr="002B4851" w:rsidRDefault="002B4851" w:rsidP="00D954AC">
            <w:pPr>
              <w:rPr>
                <w:rFonts w:asciiTheme="minorHAnsi" w:hAnsiTheme="minorHAnsi" w:cstheme="minorHAnsi"/>
              </w:rPr>
            </w:pPr>
            <w:r w:rsidRPr="002B4851">
              <w:rPr>
                <w:rFonts w:asciiTheme="minorHAnsi" w:hAnsiTheme="minorHAnsi" w:cstheme="minorHAnsi"/>
                <w:b/>
                <w:bCs/>
              </w:rPr>
              <w:t>CWAPE 5.3</w:t>
            </w:r>
            <w:r w:rsidRPr="002B4851">
              <w:rPr>
                <w:rFonts w:asciiTheme="minorHAnsi" w:hAnsiTheme="minorHAnsi" w:cstheme="minorHAnsi"/>
              </w:rPr>
              <w:t xml:space="preserve"> Candidates, in collaboration with other constituent groups, demonstrate ability to assess and collect data from pertinent sources (e.g., California School Dashboard) to evaluate services that support removing historically identified barriers to attendance. </w:t>
            </w:r>
          </w:p>
          <w:p w14:paraId="6C623E6C" w14:textId="77777777" w:rsidR="002B4851" w:rsidRPr="002B4851" w:rsidRDefault="002B4851" w:rsidP="00D954AC">
            <w:pPr>
              <w:rPr>
                <w:rFonts w:asciiTheme="minorHAnsi" w:hAnsiTheme="minorHAnsi" w:cstheme="minorHAnsi"/>
              </w:rPr>
            </w:pPr>
          </w:p>
          <w:p w14:paraId="1001B36B" w14:textId="77777777" w:rsidR="002B4851" w:rsidRPr="002B4851" w:rsidRDefault="002B4851" w:rsidP="00D954AC">
            <w:pPr>
              <w:spacing w:after="60"/>
              <w:rPr>
                <w:rFonts w:asciiTheme="minorHAnsi" w:hAnsiTheme="minorHAnsi" w:cstheme="minorHAnsi"/>
              </w:rPr>
            </w:pPr>
            <w:r w:rsidRPr="002B4851">
              <w:rPr>
                <w:rFonts w:asciiTheme="minorHAnsi" w:hAnsiTheme="minorHAnsi" w:cstheme="minorHAnsi"/>
                <w:b/>
                <w:bCs/>
              </w:rPr>
              <w:t>CWAPE 5.4</w:t>
            </w:r>
            <w:r w:rsidRPr="002B4851">
              <w:rPr>
                <w:rFonts w:asciiTheme="minorHAnsi" w:hAnsiTheme="minorHAnsi" w:cstheme="minorHAnsi"/>
              </w:rPr>
              <w:t xml:space="preserve"> Candidates research effective practices to inform specific student attendance interventions, including the use of strategies to re-engage disconnected students to the school community.</w:t>
            </w:r>
          </w:p>
        </w:tc>
      </w:tr>
      <w:tr w:rsidR="002B4851" w:rsidRPr="002B4851" w14:paraId="6E6A62AB" w14:textId="77777777" w:rsidTr="763F0BF3">
        <w:trPr>
          <w:trHeight w:val="4770"/>
        </w:trPr>
        <w:tc>
          <w:tcPr>
            <w:tcW w:w="1722" w:type="dxa"/>
          </w:tcPr>
          <w:p w14:paraId="174286C4" w14:textId="77777777" w:rsidR="002B4851" w:rsidRPr="002B4851" w:rsidRDefault="002B4851" w:rsidP="00D954AC">
            <w:pPr>
              <w:spacing w:before="60"/>
              <w:rPr>
                <w:rFonts w:asciiTheme="minorHAnsi" w:hAnsiTheme="minorHAnsi" w:cstheme="minorHAnsi"/>
                <w:b/>
                <w:bCs/>
                <w:i/>
                <w:iCs/>
              </w:rPr>
            </w:pPr>
            <w:r w:rsidRPr="002B4851">
              <w:rPr>
                <w:rFonts w:asciiTheme="minorHAnsi" w:hAnsiTheme="minorHAnsi" w:cstheme="minorHAnsi"/>
                <w:b/>
                <w:bCs/>
                <w:i/>
                <w:iCs/>
              </w:rPr>
              <w:lastRenderedPageBreak/>
              <w:t>Standard 6: Field Experience for Child Welfare and Attendance Added Authorization</w:t>
            </w:r>
          </w:p>
        </w:tc>
        <w:tc>
          <w:tcPr>
            <w:tcW w:w="3885" w:type="dxa"/>
          </w:tcPr>
          <w:p w14:paraId="6E38D14F"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Candidates complete a minimum of one hundred and fifty (150) clock hours of field experience focused on the CWA performance expectations, under the supervision of a Pupil Personnel Services (PPS) credential holder. A minimum of 90 clock hours must be logged in a school setting in direct contact with pupils. A minimum of 30 clock hours are in interdisciplinary experiences in a setting that is outside the field of education, such as law enforcement, juvenile justice, child health and welfare, mental health, social services, child protective services and community-based organizations.</w:t>
            </w:r>
          </w:p>
          <w:p w14:paraId="14C2C82D" w14:textId="77777777" w:rsidR="002B4851" w:rsidRPr="002B4851" w:rsidRDefault="002B4851" w:rsidP="00D954AC">
            <w:pPr>
              <w:rPr>
                <w:rFonts w:asciiTheme="minorHAnsi" w:hAnsiTheme="minorHAnsi" w:cstheme="minorHAnsi"/>
              </w:rPr>
            </w:pPr>
          </w:p>
          <w:p w14:paraId="0F861F39" w14:textId="77777777" w:rsidR="002B4851" w:rsidRPr="002B4851" w:rsidRDefault="002B4851" w:rsidP="00D954AC">
            <w:pPr>
              <w:spacing w:after="60"/>
              <w:rPr>
                <w:rFonts w:asciiTheme="minorHAnsi" w:hAnsiTheme="minorHAnsi" w:cstheme="minorHAnsi"/>
              </w:rPr>
            </w:pPr>
            <w:r w:rsidRPr="002B4851">
              <w:rPr>
                <w:rFonts w:asciiTheme="minorHAnsi" w:hAnsiTheme="minorHAnsi" w:cstheme="minorHAnsi"/>
              </w:rPr>
              <w:t>Supervisors must meet with candidates, individually or in a small group setting, for a minimum of one (1) hour per week throughout the field experience.</w:t>
            </w:r>
          </w:p>
        </w:tc>
        <w:tc>
          <w:tcPr>
            <w:tcW w:w="4563" w:type="dxa"/>
          </w:tcPr>
          <w:p w14:paraId="27687C04" w14:textId="77777777" w:rsidR="002B4851" w:rsidRPr="002B4851" w:rsidRDefault="002B4851" w:rsidP="00D954AC">
            <w:pPr>
              <w:spacing w:before="60"/>
              <w:rPr>
                <w:rFonts w:asciiTheme="minorHAnsi" w:hAnsiTheme="minorHAnsi" w:cstheme="minorHAnsi"/>
              </w:rPr>
            </w:pPr>
            <w:r w:rsidRPr="002B4851">
              <w:rPr>
                <w:rFonts w:asciiTheme="minorHAnsi" w:eastAsiaTheme="minorEastAsia" w:hAnsiTheme="minorHAnsi" w:cstheme="minorHAnsi"/>
              </w:rPr>
              <w:t>N/A</w:t>
            </w:r>
          </w:p>
        </w:tc>
      </w:tr>
      <w:tr w:rsidR="002B4851" w:rsidRPr="002B4851" w14:paraId="694F36B5" w14:textId="77777777" w:rsidTr="763F0BF3">
        <w:trPr>
          <w:trHeight w:val="7652"/>
        </w:trPr>
        <w:tc>
          <w:tcPr>
            <w:tcW w:w="1722" w:type="dxa"/>
          </w:tcPr>
          <w:p w14:paraId="02582353" w14:textId="77777777" w:rsidR="002B4851" w:rsidRPr="002B4851" w:rsidRDefault="002B4851" w:rsidP="00D954AC">
            <w:pPr>
              <w:spacing w:before="60"/>
              <w:rPr>
                <w:rFonts w:asciiTheme="minorHAnsi" w:hAnsiTheme="minorHAnsi" w:cstheme="minorHAnsi"/>
                <w:b/>
                <w:bCs/>
                <w:i/>
                <w:iCs/>
              </w:rPr>
            </w:pPr>
            <w:r w:rsidRPr="002B4851">
              <w:rPr>
                <w:rFonts w:asciiTheme="minorHAnsi" w:hAnsiTheme="minorHAnsi" w:cstheme="minorHAnsi"/>
                <w:b/>
                <w:bCs/>
                <w:i/>
                <w:iCs/>
              </w:rPr>
              <w:lastRenderedPageBreak/>
              <w:t>Standard 7: Determination of Candidate Competence</w:t>
            </w:r>
          </w:p>
        </w:tc>
        <w:tc>
          <w:tcPr>
            <w:tcW w:w="3885" w:type="dxa"/>
          </w:tcPr>
          <w:p w14:paraId="0A4FDB88" w14:textId="77777777" w:rsidR="002B4851" w:rsidRPr="002B4851" w:rsidRDefault="002B4851" w:rsidP="00D954AC">
            <w:pPr>
              <w:rPr>
                <w:rFonts w:asciiTheme="minorHAnsi" w:hAnsiTheme="minorHAnsi" w:cstheme="minorHAnsi"/>
              </w:rPr>
            </w:pPr>
            <w:r w:rsidRPr="002B4851">
              <w:rPr>
                <w:rFonts w:asciiTheme="minorHAnsi" w:hAnsiTheme="minorHAnsi" w:cstheme="minorHAnsi"/>
              </w:rPr>
              <w:t>The child welfare and attendance program implements well-designed, scientifically based methods to assess the knowledge, skills and abilities of candidates (CWAPEs), and collects assessment data to determine that candidates attain adequate competence and integrate competencies across all areas of training.</w:t>
            </w:r>
          </w:p>
          <w:p w14:paraId="34A5A29D" w14:textId="77777777" w:rsidR="002B4851" w:rsidRPr="002B4851" w:rsidRDefault="002B4851" w:rsidP="00D954AC">
            <w:pPr>
              <w:rPr>
                <w:rFonts w:asciiTheme="minorHAnsi" w:hAnsiTheme="minorHAnsi" w:cstheme="minorHAnsi"/>
              </w:rPr>
            </w:pPr>
          </w:p>
          <w:p w14:paraId="515C1FF7" w14:textId="77777777" w:rsidR="002B4851" w:rsidRPr="002B4851" w:rsidRDefault="002B4851" w:rsidP="00D954AC">
            <w:pPr>
              <w:rPr>
                <w:rFonts w:asciiTheme="minorHAnsi" w:hAnsiTheme="minorHAnsi" w:cstheme="minorHAnsi"/>
              </w:rPr>
            </w:pPr>
            <w:r w:rsidRPr="002B4851">
              <w:rPr>
                <w:rFonts w:asciiTheme="minorHAnsi" w:hAnsiTheme="minorHAnsi" w:cstheme="minorHAnsi"/>
              </w:rPr>
              <w:t>Prior to recommending candidates for the Child Welfare and Attendance Authorization, one or more persons who are responsible for the program determine that candidates have satisfied each performance expectation and completed all requirements for the Authorization. This determination is based on thorough documentation and written verification by at least one district supervisor and one institutional supervisor. Candidates have also documented that they have earned an appropriate graduate degree from a regionally accredited institution of higher education.</w:t>
            </w:r>
          </w:p>
        </w:tc>
        <w:tc>
          <w:tcPr>
            <w:tcW w:w="4563" w:type="dxa"/>
          </w:tcPr>
          <w:p w14:paraId="56432780" w14:textId="77777777" w:rsidR="002B4851" w:rsidRPr="002B4851" w:rsidRDefault="002B4851" w:rsidP="00D954AC">
            <w:pPr>
              <w:spacing w:before="60"/>
              <w:rPr>
                <w:rFonts w:asciiTheme="minorHAnsi" w:hAnsiTheme="minorHAnsi" w:cstheme="minorHAnsi"/>
              </w:rPr>
            </w:pPr>
            <w:r w:rsidRPr="002B4851">
              <w:rPr>
                <w:rFonts w:asciiTheme="minorHAnsi" w:hAnsiTheme="minorHAnsi" w:cstheme="minorHAnsi"/>
              </w:rPr>
              <w:t>N/A</w:t>
            </w:r>
          </w:p>
        </w:tc>
      </w:tr>
    </w:tbl>
    <w:p w14:paraId="1EF2BC76" w14:textId="3282A879" w:rsidR="002B4851" w:rsidRDefault="00D954AC" w:rsidP="002B4851">
      <w:r>
        <w:br w:type="textWrapping" w:clear="all"/>
      </w:r>
    </w:p>
    <w:bookmarkEnd w:id="33"/>
    <w:p w14:paraId="19EF2FF8" w14:textId="77777777" w:rsidR="00AA037D" w:rsidRPr="00FE5C0A" w:rsidRDefault="00AA037D" w:rsidP="00FE5C0A">
      <w:pPr>
        <w:rPr>
          <w:rFonts w:eastAsia="Cambria"/>
          <w:lang w:val="en"/>
        </w:rPr>
      </w:pPr>
    </w:p>
    <w:sectPr w:rsidR="00AA037D" w:rsidRPr="00FE5C0A" w:rsidSect="00BE2D47">
      <w:footerReference w:type="default" r:id="rId22"/>
      <w:pgSz w:w="12240" w:h="15840" w:code="1"/>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42A87" w14:textId="77777777" w:rsidR="0081394B" w:rsidRDefault="0081394B" w:rsidP="009E4736">
      <w:r>
        <w:separator/>
      </w:r>
    </w:p>
  </w:endnote>
  <w:endnote w:type="continuationSeparator" w:id="0">
    <w:p w14:paraId="595CFD2E" w14:textId="77777777" w:rsidR="0081394B" w:rsidRDefault="0081394B" w:rsidP="009E4736">
      <w:r>
        <w:continuationSeparator/>
      </w:r>
    </w:p>
  </w:endnote>
  <w:endnote w:type="continuationNotice" w:id="1">
    <w:p w14:paraId="72FD2183" w14:textId="77777777" w:rsidR="0081394B" w:rsidRDefault="00813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Linotype"/>
    <w:charset w:val="00"/>
    <w:family w:val="auto"/>
    <w:pitch w:val="variable"/>
    <w:sig w:usb0="00000003" w:usb1="00000000" w:usb2="00000000" w:usb3="00000000" w:csb0="00000001" w:csb1="00000000"/>
  </w:font>
  <w:font w:name="A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7F9F9" w14:textId="77777777" w:rsidR="00A87F6C" w:rsidRDefault="00A87F6C"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1D9811" w14:textId="77777777" w:rsidR="00A87F6C" w:rsidRDefault="00A87F6C" w:rsidP="0012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AD110" w14:textId="77777777" w:rsidR="00A67394" w:rsidRDefault="00A67394" w:rsidP="00A67394">
    <w:pPr>
      <w:tabs>
        <w:tab w:val="center" w:pos="4770"/>
        <w:tab w:val="left" w:pos="5490"/>
        <w:tab w:val="left" w:pos="7200"/>
        <w:tab w:val="left" w:pos="7470"/>
      </w:tabs>
      <w:rPr>
        <w:rFonts w:ascii="Calibri" w:hAnsi="Calibri"/>
      </w:rPr>
    </w:pPr>
  </w:p>
  <w:p w14:paraId="04930C96" w14:textId="77777777" w:rsidR="00A87F6C" w:rsidRPr="00F01594" w:rsidRDefault="00A87F6C" w:rsidP="00A67394">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9DDCA" w14:textId="7A1B70D3" w:rsidR="00A87F6C" w:rsidRPr="00EA051A" w:rsidRDefault="00A87F6C" w:rsidP="002902CD">
    <w:pPr>
      <w:tabs>
        <w:tab w:val="center" w:pos="4770"/>
        <w:tab w:val="left" w:pos="5490"/>
        <w:tab w:val="left" w:pos="7470"/>
      </w:tabs>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BD273" w14:textId="77777777" w:rsidR="00A67394" w:rsidRPr="00F01594" w:rsidRDefault="00A67394" w:rsidP="00EA051A">
    <w:pPr>
      <w:tabs>
        <w:tab w:val="center" w:pos="4770"/>
        <w:tab w:val="left" w:pos="5490"/>
        <w:tab w:val="left" w:pos="7200"/>
        <w:tab w:val="left" w:pos="7470"/>
      </w:tabs>
      <w:rPr>
        <w:rFonts w:ascii="Calibri" w:hAnsi="Calibr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06E1" w14:textId="252E05EB" w:rsidR="003E2A8D" w:rsidRDefault="007A7979" w:rsidP="009930B3">
    <w:pPr>
      <w:tabs>
        <w:tab w:val="center" w:pos="4770"/>
        <w:tab w:val="left" w:pos="5490"/>
        <w:tab w:val="left" w:pos="7470"/>
        <w:tab w:val="left" w:pos="8640"/>
      </w:tabs>
      <w:rPr>
        <w:rFonts w:ascii="Calibri" w:hAnsi="Calibri"/>
      </w:rPr>
    </w:pPr>
    <w:r>
      <w:rPr>
        <w:rFonts w:asciiTheme="minorHAnsi" w:hAnsiTheme="minorHAnsi" w:cstheme="minorHAnsi"/>
      </w:rPr>
      <w:t>PPS:</w:t>
    </w:r>
    <w:r w:rsidRPr="0052073F">
      <w:rPr>
        <w:rFonts w:asciiTheme="minorHAnsi" w:hAnsiTheme="minorHAnsi" w:cstheme="minorHAnsi"/>
      </w:rPr>
      <w:t xml:space="preserve"> Child Welfare and Attendance Added Authorization</w:t>
    </w:r>
    <w:r w:rsidRPr="00585E02">
      <w:rPr>
        <w:rFonts w:ascii="Calibri" w:hAnsi="Calibri"/>
      </w:rPr>
      <w:tab/>
    </w:r>
    <w:r>
      <w:rPr>
        <w:rFonts w:ascii="Calibri" w:hAnsi="Calibri"/>
      </w:rPr>
      <w:tab/>
    </w:r>
    <w:r w:rsidR="003E2A8D">
      <w:rPr>
        <w:rFonts w:ascii="Calibri" w:hAnsi="Calibri"/>
      </w:rPr>
      <w:tab/>
    </w:r>
    <w:r w:rsidR="00BE2D47">
      <w:rPr>
        <w:rFonts w:ascii="Calibri" w:hAnsi="Calibri"/>
      </w:rPr>
      <w:fldChar w:fldCharType="begin"/>
    </w:r>
    <w:r w:rsidR="00BE2D47">
      <w:rPr>
        <w:rFonts w:ascii="Calibri" w:hAnsi="Calibri"/>
      </w:rPr>
      <w:instrText xml:space="preserve"> PAGE  \* Arabic </w:instrText>
    </w:r>
    <w:r w:rsidR="00BE2D47">
      <w:rPr>
        <w:rFonts w:ascii="Calibri" w:hAnsi="Calibri"/>
      </w:rPr>
      <w:fldChar w:fldCharType="separate"/>
    </w:r>
    <w:r w:rsidR="00BE2D47">
      <w:rPr>
        <w:rFonts w:ascii="Calibri" w:hAnsi="Calibri"/>
        <w:noProof/>
      </w:rPr>
      <w:t>4</w:t>
    </w:r>
    <w:r w:rsidR="00BE2D47">
      <w:rPr>
        <w:rFonts w:ascii="Calibri" w:hAnsi="Calibri"/>
      </w:rPr>
      <w:fldChar w:fldCharType="end"/>
    </w:r>
  </w:p>
  <w:p w14:paraId="6DEA6C76" w14:textId="1979DF0B" w:rsidR="003E2A8D" w:rsidRPr="00585E02" w:rsidRDefault="0047653D" w:rsidP="009930B3">
    <w:pPr>
      <w:tabs>
        <w:tab w:val="center" w:pos="4770"/>
        <w:tab w:val="left" w:pos="5490"/>
        <w:tab w:val="left" w:pos="7470"/>
        <w:tab w:val="left" w:pos="8640"/>
      </w:tabs>
      <w:rPr>
        <w:rFonts w:ascii="Calibri" w:hAnsi="Calibri"/>
      </w:rPr>
    </w:pPr>
    <w:r>
      <w:rPr>
        <w:rFonts w:ascii="Calibri" w:hAnsi="Calibri"/>
      </w:rPr>
      <w:t>Preconditions, Standards, Performance Expectations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2BAE2" w14:textId="77777777" w:rsidR="0081394B" w:rsidRDefault="0081394B" w:rsidP="009E4736">
      <w:r>
        <w:separator/>
      </w:r>
    </w:p>
  </w:footnote>
  <w:footnote w:type="continuationSeparator" w:id="0">
    <w:p w14:paraId="1EA9E00D" w14:textId="77777777" w:rsidR="0081394B" w:rsidRDefault="0081394B" w:rsidP="009E4736">
      <w:r>
        <w:continuationSeparator/>
      </w:r>
    </w:p>
  </w:footnote>
  <w:footnote w:type="continuationNotice" w:id="1">
    <w:p w14:paraId="3B1ED4F0" w14:textId="77777777" w:rsidR="0081394B" w:rsidRDefault="00813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B47A4BF" w14:paraId="0FA8F7FF" w14:textId="77777777" w:rsidTr="4B47A4BF">
      <w:trPr>
        <w:trHeight w:val="300"/>
      </w:trPr>
      <w:tc>
        <w:tcPr>
          <w:tcW w:w="3600" w:type="dxa"/>
        </w:tcPr>
        <w:p w14:paraId="409F6DE9" w14:textId="67F7AE51" w:rsidR="4B47A4BF" w:rsidRDefault="4B47A4BF" w:rsidP="4B47A4BF">
          <w:pPr>
            <w:pStyle w:val="Header"/>
            <w:ind w:left="-115"/>
          </w:pPr>
        </w:p>
      </w:tc>
      <w:tc>
        <w:tcPr>
          <w:tcW w:w="3600" w:type="dxa"/>
        </w:tcPr>
        <w:p w14:paraId="19D9AACF" w14:textId="1D5C1A3C" w:rsidR="4B47A4BF" w:rsidRDefault="4B47A4BF" w:rsidP="4B47A4BF">
          <w:pPr>
            <w:pStyle w:val="Header"/>
            <w:jc w:val="center"/>
          </w:pPr>
        </w:p>
      </w:tc>
      <w:tc>
        <w:tcPr>
          <w:tcW w:w="3600" w:type="dxa"/>
        </w:tcPr>
        <w:p w14:paraId="3F2886F1" w14:textId="61B37409" w:rsidR="4B47A4BF" w:rsidRDefault="4B47A4BF" w:rsidP="4B47A4BF">
          <w:pPr>
            <w:pStyle w:val="Header"/>
            <w:ind w:right="-115"/>
            <w:jc w:val="right"/>
          </w:pPr>
        </w:p>
      </w:tc>
    </w:tr>
  </w:tbl>
  <w:p w14:paraId="604F5495" w14:textId="7A4914A3" w:rsidR="00582FC0" w:rsidRDefault="00582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47A4BF" w14:paraId="61DB9D72" w14:textId="77777777" w:rsidTr="4B47A4BF">
      <w:trPr>
        <w:trHeight w:val="300"/>
      </w:trPr>
      <w:tc>
        <w:tcPr>
          <w:tcW w:w="3120" w:type="dxa"/>
        </w:tcPr>
        <w:p w14:paraId="7EEECE7B" w14:textId="3516F154" w:rsidR="4B47A4BF" w:rsidRDefault="4B47A4BF" w:rsidP="4B47A4BF">
          <w:pPr>
            <w:pStyle w:val="Header"/>
            <w:ind w:left="-115"/>
          </w:pPr>
        </w:p>
      </w:tc>
      <w:tc>
        <w:tcPr>
          <w:tcW w:w="3120" w:type="dxa"/>
        </w:tcPr>
        <w:p w14:paraId="10A937A5" w14:textId="017D8ECD" w:rsidR="4B47A4BF" w:rsidRDefault="4B47A4BF" w:rsidP="4B47A4BF">
          <w:pPr>
            <w:pStyle w:val="Header"/>
            <w:jc w:val="center"/>
          </w:pPr>
        </w:p>
      </w:tc>
      <w:tc>
        <w:tcPr>
          <w:tcW w:w="3120" w:type="dxa"/>
        </w:tcPr>
        <w:p w14:paraId="397DD5E3" w14:textId="552B204A" w:rsidR="4B47A4BF" w:rsidRDefault="4B47A4BF" w:rsidP="4B47A4BF">
          <w:pPr>
            <w:pStyle w:val="Header"/>
            <w:ind w:right="-115"/>
            <w:jc w:val="right"/>
          </w:pPr>
        </w:p>
      </w:tc>
    </w:tr>
  </w:tbl>
  <w:p w14:paraId="402A0B57" w14:textId="5A084F49" w:rsidR="00582FC0" w:rsidRDefault="00582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AE21C" w14:textId="77777777" w:rsidR="00A87F6C" w:rsidRPr="00C73005" w:rsidRDefault="00A87F6C" w:rsidP="00C73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A586352"/>
    <w:lvl w:ilvl="0" w:tplc="A080BB4E">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955DBD"/>
    <w:multiLevelType w:val="multilevel"/>
    <w:tmpl w:val="C8BC8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254A3F"/>
    <w:multiLevelType w:val="multilevel"/>
    <w:tmpl w:val="C8BC8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361009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9799004">
    <w:abstractNumId w:val="37"/>
  </w:num>
  <w:num w:numId="3" w16cid:durableId="1105492477">
    <w:abstractNumId w:val="38"/>
  </w:num>
  <w:num w:numId="4" w16cid:durableId="1389113533">
    <w:abstractNumId w:val="12"/>
  </w:num>
  <w:num w:numId="5" w16cid:durableId="984162480">
    <w:abstractNumId w:val="1"/>
  </w:num>
  <w:num w:numId="6" w16cid:durableId="1872838495">
    <w:abstractNumId w:val="39"/>
  </w:num>
  <w:num w:numId="7" w16cid:durableId="658535978">
    <w:abstractNumId w:val="15"/>
  </w:num>
  <w:num w:numId="8" w16cid:durableId="483855358">
    <w:abstractNumId w:val="26"/>
  </w:num>
  <w:num w:numId="9" w16cid:durableId="1520387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649540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899244">
    <w:abstractNumId w:val="17"/>
  </w:num>
  <w:num w:numId="12" w16cid:durableId="386077113">
    <w:abstractNumId w:val="21"/>
  </w:num>
  <w:num w:numId="13" w16cid:durableId="31074152">
    <w:abstractNumId w:val="18"/>
  </w:num>
  <w:num w:numId="14" w16cid:durableId="1393121105">
    <w:abstractNumId w:val="13"/>
  </w:num>
  <w:num w:numId="15" w16cid:durableId="533349924">
    <w:abstractNumId w:val="33"/>
  </w:num>
  <w:num w:numId="16" w16cid:durableId="629284847">
    <w:abstractNumId w:val="32"/>
  </w:num>
  <w:num w:numId="17" w16cid:durableId="1205874095">
    <w:abstractNumId w:val="40"/>
  </w:num>
  <w:num w:numId="18" w16cid:durableId="162167313">
    <w:abstractNumId w:val="3"/>
  </w:num>
  <w:num w:numId="19" w16cid:durableId="801651938">
    <w:abstractNumId w:val="11"/>
  </w:num>
  <w:num w:numId="20" w16cid:durableId="1990478410">
    <w:abstractNumId w:val="35"/>
  </w:num>
  <w:num w:numId="21" w16cid:durableId="1565598848">
    <w:abstractNumId w:val="0"/>
  </w:num>
  <w:num w:numId="22" w16cid:durableId="151456780">
    <w:abstractNumId w:val="27"/>
  </w:num>
  <w:num w:numId="23" w16cid:durableId="1872304274">
    <w:abstractNumId w:val="14"/>
  </w:num>
  <w:num w:numId="24" w16cid:durableId="1749644726">
    <w:abstractNumId w:val="34"/>
  </w:num>
  <w:num w:numId="25" w16cid:durableId="443967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3037070">
    <w:abstractNumId w:val="4"/>
  </w:num>
  <w:num w:numId="27" w16cid:durableId="2131507567">
    <w:abstractNumId w:val="28"/>
  </w:num>
  <w:num w:numId="28" w16cid:durableId="1029374580">
    <w:abstractNumId w:val="10"/>
  </w:num>
  <w:num w:numId="29" w16cid:durableId="1092972089">
    <w:abstractNumId w:val="16"/>
  </w:num>
  <w:num w:numId="30" w16cid:durableId="808088216">
    <w:abstractNumId w:val="20"/>
  </w:num>
  <w:num w:numId="31" w16cid:durableId="1834444018">
    <w:abstractNumId w:val="9"/>
  </w:num>
  <w:num w:numId="32" w16cid:durableId="1437288503">
    <w:abstractNumId w:val="19"/>
  </w:num>
  <w:num w:numId="33" w16cid:durableId="1519583250">
    <w:abstractNumId w:val="19"/>
    <w:lvlOverride w:ilvl="2">
      <w:lvl w:ilvl="2">
        <w:numFmt w:val="upperLetter"/>
        <w:lvlText w:val="%3."/>
        <w:lvlJc w:val="left"/>
      </w:lvl>
    </w:lvlOverride>
  </w:num>
  <w:num w:numId="34" w16cid:durableId="2074984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5260277">
    <w:abstractNumId w:val="6"/>
  </w:num>
  <w:num w:numId="36" w16cid:durableId="2103717765">
    <w:abstractNumId w:val="31"/>
  </w:num>
  <w:num w:numId="37" w16cid:durableId="427234296">
    <w:abstractNumId w:val="23"/>
  </w:num>
  <w:num w:numId="38" w16cid:durableId="972366475">
    <w:abstractNumId w:val="24"/>
  </w:num>
  <w:num w:numId="39" w16cid:durableId="1825126532">
    <w:abstractNumId w:val="7"/>
  </w:num>
  <w:num w:numId="40" w16cid:durableId="53626954">
    <w:abstractNumId w:val="29"/>
  </w:num>
  <w:num w:numId="41" w16cid:durableId="795684535">
    <w:abstractNumId w:val="5"/>
  </w:num>
  <w:num w:numId="42" w16cid:durableId="1253777083">
    <w:abstractNumId w:val="36"/>
  </w:num>
  <w:num w:numId="43" w16cid:durableId="2063290305">
    <w:abstractNumId w:val="22"/>
  </w:num>
  <w:num w:numId="44" w16cid:durableId="8354554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26582484">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2NjC3MDA3NTUyNTBX0lEKTi0uzszPAykwrAUAc3A9eywAAAA="/>
  </w:docVars>
  <w:rsids>
    <w:rsidRoot w:val="007263A9"/>
    <w:rsid w:val="000003EF"/>
    <w:rsid w:val="00000B20"/>
    <w:rsid w:val="0000253A"/>
    <w:rsid w:val="000030B2"/>
    <w:rsid w:val="00003C8D"/>
    <w:rsid w:val="0000447C"/>
    <w:rsid w:val="0000487D"/>
    <w:rsid w:val="00004938"/>
    <w:rsid w:val="00004997"/>
    <w:rsid w:val="0000505D"/>
    <w:rsid w:val="000053F8"/>
    <w:rsid w:val="00005E4B"/>
    <w:rsid w:val="00006C38"/>
    <w:rsid w:val="000100E1"/>
    <w:rsid w:val="0001060D"/>
    <w:rsid w:val="000115D1"/>
    <w:rsid w:val="00011758"/>
    <w:rsid w:val="00011DD6"/>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3E97"/>
    <w:rsid w:val="00024461"/>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D5A"/>
    <w:rsid w:val="00037DC8"/>
    <w:rsid w:val="00040276"/>
    <w:rsid w:val="00042CD8"/>
    <w:rsid w:val="00043B18"/>
    <w:rsid w:val="00044731"/>
    <w:rsid w:val="00045A42"/>
    <w:rsid w:val="00045E52"/>
    <w:rsid w:val="00046551"/>
    <w:rsid w:val="000508EE"/>
    <w:rsid w:val="000510EC"/>
    <w:rsid w:val="00051110"/>
    <w:rsid w:val="00052066"/>
    <w:rsid w:val="000526D3"/>
    <w:rsid w:val="00052A20"/>
    <w:rsid w:val="00053561"/>
    <w:rsid w:val="0005394A"/>
    <w:rsid w:val="00053B9D"/>
    <w:rsid w:val="000561EA"/>
    <w:rsid w:val="000562B1"/>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2AE"/>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1863"/>
    <w:rsid w:val="000819C7"/>
    <w:rsid w:val="00081FF8"/>
    <w:rsid w:val="000833BE"/>
    <w:rsid w:val="000847B7"/>
    <w:rsid w:val="00085351"/>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571"/>
    <w:rsid w:val="000A37CD"/>
    <w:rsid w:val="000A5C4B"/>
    <w:rsid w:val="000A645A"/>
    <w:rsid w:val="000A647E"/>
    <w:rsid w:val="000A663F"/>
    <w:rsid w:val="000B03EB"/>
    <w:rsid w:val="000B16B2"/>
    <w:rsid w:val="000B2013"/>
    <w:rsid w:val="000B39E8"/>
    <w:rsid w:val="000B40FC"/>
    <w:rsid w:val="000B4684"/>
    <w:rsid w:val="000B4794"/>
    <w:rsid w:val="000B47EC"/>
    <w:rsid w:val="000B5118"/>
    <w:rsid w:val="000B56B9"/>
    <w:rsid w:val="000B7655"/>
    <w:rsid w:val="000C07D8"/>
    <w:rsid w:val="000C0897"/>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C6B"/>
    <w:rsid w:val="000D5E58"/>
    <w:rsid w:val="000D620E"/>
    <w:rsid w:val="000D658F"/>
    <w:rsid w:val="000D6E31"/>
    <w:rsid w:val="000D70C3"/>
    <w:rsid w:val="000D7E56"/>
    <w:rsid w:val="000D7F2A"/>
    <w:rsid w:val="000E15D0"/>
    <w:rsid w:val="000E1A9F"/>
    <w:rsid w:val="000E344A"/>
    <w:rsid w:val="000E36D5"/>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73D2"/>
    <w:rsid w:val="0010052B"/>
    <w:rsid w:val="001007ED"/>
    <w:rsid w:val="00100DF2"/>
    <w:rsid w:val="00102233"/>
    <w:rsid w:val="001030AD"/>
    <w:rsid w:val="001039A6"/>
    <w:rsid w:val="00103EB2"/>
    <w:rsid w:val="001040C4"/>
    <w:rsid w:val="00105670"/>
    <w:rsid w:val="00105D94"/>
    <w:rsid w:val="001069BC"/>
    <w:rsid w:val="001071CB"/>
    <w:rsid w:val="00107332"/>
    <w:rsid w:val="001079A2"/>
    <w:rsid w:val="00111958"/>
    <w:rsid w:val="00111D89"/>
    <w:rsid w:val="001122F7"/>
    <w:rsid w:val="00113944"/>
    <w:rsid w:val="00115ECB"/>
    <w:rsid w:val="00116457"/>
    <w:rsid w:val="00117914"/>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8FF"/>
    <w:rsid w:val="00131AB6"/>
    <w:rsid w:val="00131E11"/>
    <w:rsid w:val="0013371D"/>
    <w:rsid w:val="001339DD"/>
    <w:rsid w:val="00133AE9"/>
    <w:rsid w:val="00134118"/>
    <w:rsid w:val="00134529"/>
    <w:rsid w:val="00135335"/>
    <w:rsid w:val="001357C3"/>
    <w:rsid w:val="00135D6F"/>
    <w:rsid w:val="001364CC"/>
    <w:rsid w:val="001401BD"/>
    <w:rsid w:val="001408DD"/>
    <w:rsid w:val="00140D5B"/>
    <w:rsid w:val="001412A6"/>
    <w:rsid w:val="001417BA"/>
    <w:rsid w:val="00142F7D"/>
    <w:rsid w:val="00143598"/>
    <w:rsid w:val="0014463B"/>
    <w:rsid w:val="0014475F"/>
    <w:rsid w:val="00144B39"/>
    <w:rsid w:val="00144F02"/>
    <w:rsid w:val="0014589D"/>
    <w:rsid w:val="00146B47"/>
    <w:rsid w:val="00146C6D"/>
    <w:rsid w:val="00146C9F"/>
    <w:rsid w:val="00147B2A"/>
    <w:rsid w:val="00147B8E"/>
    <w:rsid w:val="001505B1"/>
    <w:rsid w:val="001505BD"/>
    <w:rsid w:val="00150806"/>
    <w:rsid w:val="00150F52"/>
    <w:rsid w:val="0015131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2F76"/>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CA2"/>
    <w:rsid w:val="00172DBB"/>
    <w:rsid w:val="001735BA"/>
    <w:rsid w:val="00173FB4"/>
    <w:rsid w:val="00174B49"/>
    <w:rsid w:val="00175F26"/>
    <w:rsid w:val="00175FE6"/>
    <w:rsid w:val="00176886"/>
    <w:rsid w:val="00180024"/>
    <w:rsid w:val="00180531"/>
    <w:rsid w:val="00182437"/>
    <w:rsid w:val="001824F0"/>
    <w:rsid w:val="00182EAF"/>
    <w:rsid w:val="00183F9F"/>
    <w:rsid w:val="00184678"/>
    <w:rsid w:val="00190CF2"/>
    <w:rsid w:val="00191933"/>
    <w:rsid w:val="00191A5D"/>
    <w:rsid w:val="00192350"/>
    <w:rsid w:val="00192EF7"/>
    <w:rsid w:val="001930BF"/>
    <w:rsid w:val="001940C2"/>
    <w:rsid w:val="00194AF6"/>
    <w:rsid w:val="00194ECF"/>
    <w:rsid w:val="0019506A"/>
    <w:rsid w:val="00196087"/>
    <w:rsid w:val="0019708B"/>
    <w:rsid w:val="001972B9"/>
    <w:rsid w:val="00197B16"/>
    <w:rsid w:val="00197CC5"/>
    <w:rsid w:val="001A02C1"/>
    <w:rsid w:val="001A0376"/>
    <w:rsid w:val="001A08AB"/>
    <w:rsid w:val="001A0E8B"/>
    <w:rsid w:val="001A1238"/>
    <w:rsid w:val="001A1B91"/>
    <w:rsid w:val="001A1E26"/>
    <w:rsid w:val="001A21EC"/>
    <w:rsid w:val="001A25DF"/>
    <w:rsid w:val="001A3616"/>
    <w:rsid w:val="001A3DB4"/>
    <w:rsid w:val="001A4071"/>
    <w:rsid w:val="001A48DB"/>
    <w:rsid w:val="001A611F"/>
    <w:rsid w:val="001A6CFE"/>
    <w:rsid w:val="001A6F78"/>
    <w:rsid w:val="001A6FA7"/>
    <w:rsid w:val="001A7B6F"/>
    <w:rsid w:val="001A7E99"/>
    <w:rsid w:val="001A7F74"/>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E93"/>
    <w:rsid w:val="001C5116"/>
    <w:rsid w:val="001C5D88"/>
    <w:rsid w:val="001C6AAB"/>
    <w:rsid w:val="001D0DAE"/>
    <w:rsid w:val="001D11B1"/>
    <w:rsid w:val="001D163A"/>
    <w:rsid w:val="001D28C4"/>
    <w:rsid w:val="001D387C"/>
    <w:rsid w:val="001D3B17"/>
    <w:rsid w:val="001D5837"/>
    <w:rsid w:val="001D68B1"/>
    <w:rsid w:val="001E2811"/>
    <w:rsid w:val="001E333C"/>
    <w:rsid w:val="001E3424"/>
    <w:rsid w:val="001E38AC"/>
    <w:rsid w:val="001E50AD"/>
    <w:rsid w:val="001E5E40"/>
    <w:rsid w:val="001E68D6"/>
    <w:rsid w:val="001E7058"/>
    <w:rsid w:val="001E78D0"/>
    <w:rsid w:val="001F05F3"/>
    <w:rsid w:val="001F1343"/>
    <w:rsid w:val="001F29BD"/>
    <w:rsid w:val="001F4D1E"/>
    <w:rsid w:val="001F611A"/>
    <w:rsid w:val="001F711D"/>
    <w:rsid w:val="002012DF"/>
    <w:rsid w:val="00201935"/>
    <w:rsid w:val="00202126"/>
    <w:rsid w:val="00202EF3"/>
    <w:rsid w:val="002033FE"/>
    <w:rsid w:val="00203C12"/>
    <w:rsid w:val="00205302"/>
    <w:rsid w:val="00205C64"/>
    <w:rsid w:val="00206A0B"/>
    <w:rsid w:val="00206F48"/>
    <w:rsid w:val="00207821"/>
    <w:rsid w:val="002115EE"/>
    <w:rsid w:val="0021184B"/>
    <w:rsid w:val="00211C57"/>
    <w:rsid w:val="0021200E"/>
    <w:rsid w:val="00213058"/>
    <w:rsid w:val="00214237"/>
    <w:rsid w:val="00214518"/>
    <w:rsid w:val="0021505C"/>
    <w:rsid w:val="002152C2"/>
    <w:rsid w:val="00215664"/>
    <w:rsid w:val="00215756"/>
    <w:rsid w:val="00215877"/>
    <w:rsid w:val="002160D6"/>
    <w:rsid w:val="00216D12"/>
    <w:rsid w:val="002173BB"/>
    <w:rsid w:val="0022183C"/>
    <w:rsid w:val="00221E82"/>
    <w:rsid w:val="002221AB"/>
    <w:rsid w:val="00222457"/>
    <w:rsid w:val="002226E9"/>
    <w:rsid w:val="0022299C"/>
    <w:rsid w:val="00223634"/>
    <w:rsid w:val="00223897"/>
    <w:rsid w:val="002239D6"/>
    <w:rsid w:val="00223CD6"/>
    <w:rsid w:val="00223EE1"/>
    <w:rsid w:val="002245BA"/>
    <w:rsid w:val="0022560C"/>
    <w:rsid w:val="0022590C"/>
    <w:rsid w:val="00225C91"/>
    <w:rsid w:val="00226025"/>
    <w:rsid w:val="00227B9B"/>
    <w:rsid w:val="00227D21"/>
    <w:rsid w:val="00227E21"/>
    <w:rsid w:val="00230639"/>
    <w:rsid w:val="00230CCC"/>
    <w:rsid w:val="0023112C"/>
    <w:rsid w:val="00232871"/>
    <w:rsid w:val="0023371E"/>
    <w:rsid w:val="00233800"/>
    <w:rsid w:val="00234A4F"/>
    <w:rsid w:val="00234D34"/>
    <w:rsid w:val="00235C54"/>
    <w:rsid w:val="00235D74"/>
    <w:rsid w:val="00235FDD"/>
    <w:rsid w:val="0023630F"/>
    <w:rsid w:val="0024000F"/>
    <w:rsid w:val="0024143C"/>
    <w:rsid w:val="00241D63"/>
    <w:rsid w:val="00242014"/>
    <w:rsid w:val="0024275F"/>
    <w:rsid w:val="0024396B"/>
    <w:rsid w:val="00243A5C"/>
    <w:rsid w:val="0024539A"/>
    <w:rsid w:val="00245A55"/>
    <w:rsid w:val="002462F1"/>
    <w:rsid w:val="00247ABF"/>
    <w:rsid w:val="00247D22"/>
    <w:rsid w:val="0025147D"/>
    <w:rsid w:val="0025171F"/>
    <w:rsid w:val="00251F6D"/>
    <w:rsid w:val="00252F93"/>
    <w:rsid w:val="00253537"/>
    <w:rsid w:val="00253994"/>
    <w:rsid w:val="00253A0B"/>
    <w:rsid w:val="002542D5"/>
    <w:rsid w:val="0025440F"/>
    <w:rsid w:val="00254AA7"/>
    <w:rsid w:val="00254C76"/>
    <w:rsid w:val="00254E50"/>
    <w:rsid w:val="002561DD"/>
    <w:rsid w:val="00257C5D"/>
    <w:rsid w:val="00261C72"/>
    <w:rsid w:val="002622F2"/>
    <w:rsid w:val="00263521"/>
    <w:rsid w:val="00263534"/>
    <w:rsid w:val="00263592"/>
    <w:rsid w:val="0026375A"/>
    <w:rsid w:val="0026513B"/>
    <w:rsid w:val="00265E69"/>
    <w:rsid w:val="0026649A"/>
    <w:rsid w:val="0026693D"/>
    <w:rsid w:val="0026717C"/>
    <w:rsid w:val="002673A6"/>
    <w:rsid w:val="00271281"/>
    <w:rsid w:val="0027277E"/>
    <w:rsid w:val="00273725"/>
    <w:rsid w:val="00274139"/>
    <w:rsid w:val="002741A9"/>
    <w:rsid w:val="002754AE"/>
    <w:rsid w:val="00275651"/>
    <w:rsid w:val="00275995"/>
    <w:rsid w:val="00275D1B"/>
    <w:rsid w:val="00276C5E"/>
    <w:rsid w:val="00277A7F"/>
    <w:rsid w:val="00277B40"/>
    <w:rsid w:val="0028098C"/>
    <w:rsid w:val="00282C6B"/>
    <w:rsid w:val="00282DFD"/>
    <w:rsid w:val="00282FE1"/>
    <w:rsid w:val="0028306A"/>
    <w:rsid w:val="00284312"/>
    <w:rsid w:val="00285066"/>
    <w:rsid w:val="002854E2"/>
    <w:rsid w:val="00285D13"/>
    <w:rsid w:val="00286012"/>
    <w:rsid w:val="002902CD"/>
    <w:rsid w:val="00293C9D"/>
    <w:rsid w:val="002943E2"/>
    <w:rsid w:val="00294C68"/>
    <w:rsid w:val="00294FEF"/>
    <w:rsid w:val="00296BEF"/>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4851"/>
    <w:rsid w:val="002B54DF"/>
    <w:rsid w:val="002B58DC"/>
    <w:rsid w:val="002B5BC5"/>
    <w:rsid w:val="002B5C56"/>
    <w:rsid w:val="002C0308"/>
    <w:rsid w:val="002C091E"/>
    <w:rsid w:val="002C0FC5"/>
    <w:rsid w:val="002C1B55"/>
    <w:rsid w:val="002C2692"/>
    <w:rsid w:val="002C2E67"/>
    <w:rsid w:val="002C3D84"/>
    <w:rsid w:val="002C49E0"/>
    <w:rsid w:val="002C506C"/>
    <w:rsid w:val="002C5EBD"/>
    <w:rsid w:val="002C6009"/>
    <w:rsid w:val="002C67D6"/>
    <w:rsid w:val="002C6AC0"/>
    <w:rsid w:val="002C6CD8"/>
    <w:rsid w:val="002C7394"/>
    <w:rsid w:val="002C7E59"/>
    <w:rsid w:val="002D10DD"/>
    <w:rsid w:val="002D11FB"/>
    <w:rsid w:val="002D1E1B"/>
    <w:rsid w:val="002D5356"/>
    <w:rsid w:val="002D7179"/>
    <w:rsid w:val="002D7B3E"/>
    <w:rsid w:val="002E01F7"/>
    <w:rsid w:val="002E04FC"/>
    <w:rsid w:val="002E167F"/>
    <w:rsid w:val="002E1932"/>
    <w:rsid w:val="002E266B"/>
    <w:rsid w:val="002E2DC7"/>
    <w:rsid w:val="002E2F11"/>
    <w:rsid w:val="002E3528"/>
    <w:rsid w:val="002E391E"/>
    <w:rsid w:val="002E4744"/>
    <w:rsid w:val="002E47EA"/>
    <w:rsid w:val="002E53BA"/>
    <w:rsid w:val="002E7036"/>
    <w:rsid w:val="002E71ED"/>
    <w:rsid w:val="002E728B"/>
    <w:rsid w:val="002E7E25"/>
    <w:rsid w:val="002F004B"/>
    <w:rsid w:val="002F0076"/>
    <w:rsid w:val="002F01E1"/>
    <w:rsid w:val="002F0812"/>
    <w:rsid w:val="002F095A"/>
    <w:rsid w:val="002F0AD5"/>
    <w:rsid w:val="002F0DB7"/>
    <w:rsid w:val="002F19EC"/>
    <w:rsid w:val="002F2028"/>
    <w:rsid w:val="002F245C"/>
    <w:rsid w:val="002F2576"/>
    <w:rsid w:val="002F2A23"/>
    <w:rsid w:val="002F6EF4"/>
    <w:rsid w:val="00300359"/>
    <w:rsid w:val="00300A6A"/>
    <w:rsid w:val="00300F75"/>
    <w:rsid w:val="003015E1"/>
    <w:rsid w:val="003019FB"/>
    <w:rsid w:val="00301D44"/>
    <w:rsid w:val="00302746"/>
    <w:rsid w:val="00303504"/>
    <w:rsid w:val="003036F2"/>
    <w:rsid w:val="00303C55"/>
    <w:rsid w:val="00304222"/>
    <w:rsid w:val="003068E4"/>
    <w:rsid w:val="00306B37"/>
    <w:rsid w:val="00306D26"/>
    <w:rsid w:val="00307CB2"/>
    <w:rsid w:val="00311B6C"/>
    <w:rsid w:val="003136D2"/>
    <w:rsid w:val="00313AA2"/>
    <w:rsid w:val="003146AD"/>
    <w:rsid w:val="00315068"/>
    <w:rsid w:val="00315D4A"/>
    <w:rsid w:val="0031600E"/>
    <w:rsid w:val="00316451"/>
    <w:rsid w:val="00317149"/>
    <w:rsid w:val="00317791"/>
    <w:rsid w:val="00320227"/>
    <w:rsid w:val="00320795"/>
    <w:rsid w:val="0032131D"/>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2ACD"/>
    <w:rsid w:val="00344124"/>
    <w:rsid w:val="00344F25"/>
    <w:rsid w:val="003467E4"/>
    <w:rsid w:val="003479DE"/>
    <w:rsid w:val="00350063"/>
    <w:rsid w:val="00350C13"/>
    <w:rsid w:val="00350F6A"/>
    <w:rsid w:val="00351170"/>
    <w:rsid w:val="003522AA"/>
    <w:rsid w:val="003529F3"/>
    <w:rsid w:val="00352EE0"/>
    <w:rsid w:val="00353288"/>
    <w:rsid w:val="00353B38"/>
    <w:rsid w:val="0035461C"/>
    <w:rsid w:val="003547F7"/>
    <w:rsid w:val="003553D4"/>
    <w:rsid w:val="0035609F"/>
    <w:rsid w:val="003564F8"/>
    <w:rsid w:val="00356F61"/>
    <w:rsid w:val="003571E8"/>
    <w:rsid w:val="003579E9"/>
    <w:rsid w:val="00357F22"/>
    <w:rsid w:val="00360B1A"/>
    <w:rsid w:val="003612D2"/>
    <w:rsid w:val="003624CB"/>
    <w:rsid w:val="00365535"/>
    <w:rsid w:val="00366C30"/>
    <w:rsid w:val="003672C8"/>
    <w:rsid w:val="003674EF"/>
    <w:rsid w:val="003679CD"/>
    <w:rsid w:val="00367C9E"/>
    <w:rsid w:val="00367E84"/>
    <w:rsid w:val="00370170"/>
    <w:rsid w:val="003703FF"/>
    <w:rsid w:val="0037052A"/>
    <w:rsid w:val="003712C4"/>
    <w:rsid w:val="003717B2"/>
    <w:rsid w:val="00371BE9"/>
    <w:rsid w:val="003722EB"/>
    <w:rsid w:val="00373051"/>
    <w:rsid w:val="0037398F"/>
    <w:rsid w:val="00373A35"/>
    <w:rsid w:val="00373F49"/>
    <w:rsid w:val="00376B0E"/>
    <w:rsid w:val="003776BD"/>
    <w:rsid w:val="003777FA"/>
    <w:rsid w:val="00377833"/>
    <w:rsid w:val="00377B3E"/>
    <w:rsid w:val="00377B76"/>
    <w:rsid w:val="00377DBF"/>
    <w:rsid w:val="00381AF3"/>
    <w:rsid w:val="00382161"/>
    <w:rsid w:val="00382A91"/>
    <w:rsid w:val="00384AB3"/>
    <w:rsid w:val="00385957"/>
    <w:rsid w:val="00385CDF"/>
    <w:rsid w:val="00387563"/>
    <w:rsid w:val="00390BB8"/>
    <w:rsid w:val="00391B49"/>
    <w:rsid w:val="00392013"/>
    <w:rsid w:val="00392E50"/>
    <w:rsid w:val="0039331E"/>
    <w:rsid w:val="003934A1"/>
    <w:rsid w:val="00395830"/>
    <w:rsid w:val="00396CAC"/>
    <w:rsid w:val="00397375"/>
    <w:rsid w:val="00397CDD"/>
    <w:rsid w:val="003A01DF"/>
    <w:rsid w:val="003A09BB"/>
    <w:rsid w:val="003A1365"/>
    <w:rsid w:val="003A1A87"/>
    <w:rsid w:val="003A238D"/>
    <w:rsid w:val="003A28F4"/>
    <w:rsid w:val="003A2DEA"/>
    <w:rsid w:val="003A32E2"/>
    <w:rsid w:val="003A3610"/>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4386"/>
    <w:rsid w:val="003D4A5A"/>
    <w:rsid w:val="003D4E87"/>
    <w:rsid w:val="003D4EAE"/>
    <w:rsid w:val="003D53CA"/>
    <w:rsid w:val="003D57A1"/>
    <w:rsid w:val="003D634C"/>
    <w:rsid w:val="003D63C6"/>
    <w:rsid w:val="003D684A"/>
    <w:rsid w:val="003D7096"/>
    <w:rsid w:val="003E0451"/>
    <w:rsid w:val="003E09D6"/>
    <w:rsid w:val="003E1243"/>
    <w:rsid w:val="003E1460"/>
    <w:rsid w:val="003E19B0"/>
    <w:rsid w:val="003E1FDB"/>
    <w:rsid w:val="003E26EF"/>
    <w:rsid w:val="003E27E8"/>
    <w:rsid w:val="003E2A8D"/>
    <w:rsid w:val="003E373A"/>
    <w:rsid w:val="003E38B6"/>
    <w:rsid w:val="003E4661"/>
    <w:rsid w:val="003E508E"/>
    <w:rsid w:val="003E6412"/>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6E5"/>
    <w:rsid w:val="0040095C"/>
    <w:rsid w:val="00400C92"/>
    <w:rsid w:val="00402343"/>
    <w:rsid w:val="004027EE"/>
    <w:rsid w:val="00402C56"/>
    <w:rsid w:val="00405B66"/>
    <w:rsid w:val="00405D42"/>
    <w:rsid w:val="0041079E"/>
    <w:rsid w:val="00410CC6"/>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15C5"/>
    <w:rsid w:val="004320A1"/>
    <w:rsid w:val="00433323"/>
    <w:rsid w:val="00434836"/>
    <w:rsid w:val="0043566F"/>
    <w:rsid w:val="0043663A"/>
    <w:rsid w:val="00436A45"/>
    <w:rsid w:val="00436AB4"/>
    <w:rsid w:val="00436C11"/>
    <w:rsid w:val="00437BCF"/>
    <w:rsid w:val="004401F1"/>
    <w:rsid w:val="0044069F"/>
    <w:rsid w:val="004408F5"/>
    <w:rsid w:val="004411F0"/>
    <w:rsid w:val="0044138B"/>
    <w:rsid w:val="0044152B"/>
    <w:rsid w:val="004416BA"/>
    <w:rsid w:val="00441C21"/>
    <w:rsid w:val="00441F65"/>
    <w:rsid w:val="0044230E"/>
    <w:rsid w:val="00442326"/>
    <w:rsid w:val="004436D3"/>
    <w:rsid w:val="004445DE"/>
    <w:rsid w:val="0044674D"/>
    <w:rsid w:val="00446C73"/>
    <w:rsid w:val="0044700D"/>
    <w:rsid w:val="0044780C"/>
    <w:rsid w:val="004507F3"/>
    <w:rsid w:val="00450CF2"/>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58FC"/>
    <w:rsid w:val="00465DFA"/>
    <w:rsid w:val="00466321"/>
    <w:rsid w:val="0046652E"/>
    <w:rsid w:val="00467D63"/>
    <w:rsid w:val="0047108B"/>
    <w:rsid w:val="00471279"/>
    <w:rsid w:val="0047172F"/>
    <w:rsid w:val="00471BA3"/>
    <w:rsid w:val="00472937"/>
    <w:rsid w:val="00473099"/>
    <w:rsid w:val="004735E6"/>
    <w:rsid w:val="00473B5A"/>
    <w:rsid w:val="00473DE6"/>
    <w:rsid w:val="0047461F"/>
    <w:rsid w:val="0047471A"/>
    <w:rsid w:val="004747A7"/>
    <w:rsid w:val="004747BE"/>
    <w:rsid w:val="0047653D"/>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179"/>
    <w:rsid w:val="004904E7"/>
    <w:rsid w:val="0049091C"/>
    <w:rsid w:val="0049092A"/>
    <w:rsid w:val="004929D8"/>
    <w:rsid w:val="004931D5"/>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492F"/>
    <w:rsid w:val="004A4B3A"/>
    <w:rsid w:val="004A58EA"/>
    <w:rsid w:val="004A6106"/>
    <w:rsid w:val="004A6BDD"/>
    <w:rsid w:val="004A7490"/>
    <w:rsid w:val="004A7621"/>
    <w:rsid w:val="004A7891"/>
    <w:rsid w:val="004B0BA2"/>
    <w:rsid w:val="004B3F98"/>
    <w:rsid w:val="004B45C9"/>
    <w:rsid w:val="004B5835"/>
    <w:rsid w:val="004B5947"/>
    <w:rsid w:val="004B724B"/>
    <w:rsid w:val="004B75F4"/>
    <w:rsid w:val="004B7C29"/>
    <w:rsid w:val="004C09C3"/>
    <w:rsid w:val="004C0E14"/>
    <w:rsid w:val="004C1216"/>
    <w:rsid w:val="004C1BC1"/>
    <w:rsid w:val="004C24BC"/>
    <w:rsid w:val="004C2852"/>
    <w:rsid w:val="004C2CFC"/>
    <w:rsid w:val="004C4033"/>
    <w:rsid w:val="004C4558"/>
    <w:rsid w:val="004C470C"/>
    <w:rsid w:val="004C4B04"/>
    <w:rsid w:val="004C57CF"/>
    <w:rsid w:val="004C59B1"/>
    <w:rsid w:val="004C728D"/>
    <w:rsid w:val="004C7E3B"/>
    <w:rsid w:val="004D0699"/>
    <w:rsid w:val="004D0B81"/>
    <w:rsid w:val="004D122A"/>
    <w:rsid w:val="004D1714"/>
    <w:rsid w:val="004D2D15"/>
    <w:rsid w:val="004D2E3C"/>
    <w:rsid w:val="004D3536"/>
    <w:rsid w:val="004D4846"/>
    <w:rsid w:val="004D4855"/>
    <w:rsid w:val="004D568A"/>
    <w:rsid w:val="004D6203"/>
    <w:rsid w:val="004D621D"/>
    <w:rsid w:val="004D6349"/>
    <w:rsid w:val="004D6AE7"/>
    <w:rsid w:val="004D6ED3"/>
    <w:rsid w:val="004D7664"/>
    <w:rsid w:val="004D770C"/>
    <w:rsid w:val="004E01D4"/>
    <w:rsid w:val="004E01E7"/>
    <w:rsid w:val="004E14FE"/>
    <w:rsid w:val="004E2684"/>
    <w:rsid w:val="004E2EB0"/>
    <w:rsid w:val="004E4AE1"/>
    <w:rsid w:val="004E51FA"/>
    <w:rsid w:val="004E542B"/>
    <w:rsid w:val="004E5473"/>
    <w:rsid w:val="004E5821"/>
    <w:rsid w:val="004E582E"/>
    <w:rsid w:val="004E6610"/>
    <w:rsid w:val="004E6B94"/>
    <w:rsid w:val="004E7EA2"/>
    <w:rsid w:val="004F0215"/>
    <w:rsid w:val="004F1EED"/>
    <w:rsid w:val="004F25F5"/>
    <w:rsid w:val="004F2C13"/>
    <w:rsid w:val="004F35E3"/>
    <w:rsid w:val="004F4975"/>
    <w:rsid w:val="004F5B26"/>
    <w:rsid w:val="004F62EE"/>
    <w:rsid w:val="004F65B1"/>
    <w:rsid w:val="004F66FE"/>
    <w:rsid w:val="004F697C"/>
    <w:rsid w:val="004F70CC"/>
    <w:rsid w:val="004F7D56"/>
    <w:rsid w:val="004F7DC4"/>
    <w:rsid w:val="00500717"/>
    <w:rsid w:val="00500B81"/>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4DE"/>
    <w:rsid w:val="00516B22"/>
    <w:rsid w:val="005172D0"/>
    <w:rsid w:val="00517D1B"/>
    <w:rsid w:val="0052004A"/>
    <w:rsid w:val="0052006D"/>
    <w:rsid w:val="005205FE"/>
    <w:rsid w:val="0052073F"/>
    <w:rsid w:val="0052270B"/>
    <w:rsid w:val="00522CFF"/>
    <w:rsid w:val="00522D37"/>
    <w:rsid w:val="005230EC"/>
    <w:rsid w:val="005238EC"/>
    <w:rsid w:val="00523AD6"/>
    <w:rsid w:val="0052464F"/>
    <w:rsid w:val="00524D21"/>
    <w:rsid w:val="00524D2C"/>
    <w:rsid w:val="0052537D"/>
    <w:rsid w:val="00526805"/>
    <w:rsid w:val="0052729C"/>
    <w:rsid w:val="00527919"/>
    <w:rsid w:val="00530803"/>
    <w:rsid w:val="00530E2F"/>
    <w:rsid w:val="00530E6B"/>
    <w:rsid w:val="005319CD"/>
    <w:rsid w:val="00531B22"/>
    <w:rsid w:val="005321E6"/>
    <w:rsid w:val="0053237D"/>
    <w:rsid w:val="00532918"/>
    <w:rsid w:val="00532DC6"/>
    <w:rsid w:val="005336A2"/>
    <w:rsid w:val="005338B9"/>
    <w:rsid w:val="00533C74"/>
    <w:rsid w:val="0053458B"/>
    <w:rsid w:val="00534B7A"/>
    <w:rsid w:val="00535F42"/>
    <w:rsid w:val="00537772"/>
    <w:rsid w:val="00540293"/>
    <w:rsid w:val="005405B1"/>
    <w:rsid w:val="0054065F"/>
    <w:rsid w:val="00542CD9"/>
    <w:rsid w:val="005435AA"/>
    <w:rsid w:val="00543A7F"/>
    <w:rsid w:val="00543D64"/>
    <w:rsid w:val="0054464F"/>
    <w:rsid w:val="005446BC"/>
    <w:rsid w:val="00544A2C"/>
    <w:rsid w:val="005458A4"/>
    <w:rsid w:val="0054591A"/>
    <w:rsid w:val="00545CDA"/>
    <w:rsid w:val="0054700B"/>
    <w:rsid w:val="00550F40"/>
    <w:rsid w:val="005514A3"/>
    <w:rsid w:val="00551B84"/>
    <w:rsid w:val="005520EA"/>
    <w:rsid w:val="005556B0"/>
    <w:rsid w:val="005557F7"/>
    <w:rsid w:val="005557FB"/>
    <w:rsid w:val="00555D8F"/>
    <w:rsid w:val="00556429"/>
    <w:rsid w:val="005567EF"/>
    <w:rsid w:val="00557428"/>
    <w:rsid w:val="00557A3B"/>
    <w:rsid w:val="00561B55"/>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899"/>
    <w:rsid w:val="00582FC0"/>
    <w:rsid w:val="00583485"/>
    <w:rsid w:val="0058459F"/>
    <w:rsid w:val="00585379"/>
    <w:rsid w:val="00585E02"/>
    <w:rsid w:val="0058615A"/>
    <w:rsid w:val="00586855"/>
    <w:rsid w:val="00587EA7"/>
    <w:rsid w:val="00590C58"/>
    <w:rsid w:val="00590E23"/>
    <w:rsid w:val="00592B94"/>
    <w:rsid w:val="00593328"/>
    <w:rsid w:val="00593C16"/>
    <w:rsid w:val="005942BC"/>
    <w:rsid w:val="005947F5"/>
    <w:rsid w:val="005950B9"/>
    <w:rsid w:val="005954D5"/>
    <w:rsid w:val="005965EF"/>
    <w:rsid w:val="005970C5"/>
    <w:rsid w:val="00597E12"/>
    <w:rsid w:val="005A0972"/>
    <w:rsid w:val="005A13B3"/>
    <w:rsid w:val="005A1799"/>
    <w:rsid w:val="005A2072"/>
    <w:rsid w:val="005A26A4"/>
    <w:rsid w:val="005A38CA"/>
    <w:rsid w:val="005A43BD"/>
    <w:rsid w:val="005A5982"/>
    <w:rsid w:val="005A66D5"/>
    <w:rsid w:val="005A67F0"/>
    <w:rsid w:val="005B07C1"/>
    <w:rsid w:val="005B10C2"/>
    <w:rsid w:val="005B10D2"/>
    <w:rsid w:val="005B1E67"/>
    <w:rsid w:val="005B31F6"/>
    <w:rsid w:val="005B392F"/>
    <w:rsid w:val="005B3C32"/>
    <w:rsid w:val="005B4D0D"/>
    <w:rsid w:val="005B5160"/>
    <w:rsid w:val="005B5904"/>
    <w:rsid w:val="005B6D32"/>
    <w:rsid w:val="005B6F94"/>
    <w:rsid w:val="005B7F9D"/>
    <w:rsid w:val="005C165C"/>
    <w:rsid w:val="005C202A"/>
    <w:rsid w:val="005C255B"/>
    <w:rsid w:val="005C41DB"/>
    <w:rsid w:val="005C4640"/>
    <w:rsid w:val="005C531D"/>
    <w:rsid w:val="005C6E9C"/>
    <w:rsid w:val="005D027E"/>
    <w:rsid w:val="005D08E6"/>
    <w:rsid w:val="005D19A7"/>
    <w:rsid w:val="005D1B09"/>
    <w:rsid w:val="005D2AAC"/>
    <w:rsid w:val="005D2C42"/>
    <w:rsid w:val="005D37D8"/>
    <w:rsid w:val="005D385A"/>
    <w:rsid w:val="005D3944"/>
    <w:rsid w:val="005D4045"/>
    <w:rsid w:val="005D41CF"/>
    <w:rsid w:val="005D44E7"/>
    <w:rsid w:val="005D49B3"/>
    <w:rsid w:val="005D5186"/>
    <w:rsid w:val="005D52A5"/>
    <w:rsid w:val="005D551F"/>
    <w:rsid w:val="005D62D2"/>
    <w:rsid w:val="005D7A1F"/>
    <w:rsid w:val="005E0D93"/>
    <w:rsid w:val="005E0E5B"/>
    <w:rsid w:val="005E1CFD"/>
    <w:rsid w:val="005E1D00"/>
    <w:rsid w:val="005E2FD6"/>
    <w:rsid w:val="005E360D"/>
    <w:rsid w:val="005E3A87"/>
    <w:rsid w:val="005E49CB"/>
    <w:rsid w:val="005E4F42"/>
    <w:rsid w:val="005E505D"/>
    <w:rsid w:val="005E68AC"/>
    <w:rsid w:val="005E6FC4"/>
    <w:rsid w:val="005F0312"/>
    <w:rsid w:val="005F0A8C"/>
    <w:rsid w:val="005F0F11"/>
    <w:rsid w:val="005F194C"/>
    <w:rsid w:val="005F1E80"/>
    <w:rsid w:val="005F1EA8"/>
    <w:rsid w:val="005F23E8"/>
    <w:rsid w:val="005F43D8"/>
    <w:rsid w:val="005F4794"/>
    <w:rsid w:val="005F59B8"/>
    <w:rsid w:val="005F5FFA"/>
    <w:rsid w:val="005F6359"/>
    <w:rsid w:val="005F653F"/>
    <w:rsid w:val="005F7BF8"/>
    <w:rsid w:val="005F7DCE"/>
    <w:rsid w:val="00600CD7"/>
    <w:rsid w:val="0060165B"/>
    <w:rsid w:val="006023E6"/>
    <w:rsid w:val="0060332D"/>
    <w:rsid w:val="00603921"/>
    <w:rsid w:val="00605288"/>
    <w:rsid w:val="00605762"/>
    <w:rsid w:val="0060608A"/>
    <w:rsid w:val="006062F2"/>
    <w:rsid w:val="00606400"/>
    <w:rsid w:val="006065BC"/>
    <w:rsid w:val="006073AF"/>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647"/>
    <w:rsid w:val="00623A4E"/>
    <w:rsid w:val="00623B04"/>
    <w:rsid w:val="006243E8"/>
    <w:rsid w:val="006245CB"/>
    <w:rsid w:val="00624799"/>
    <w:rsid w:val="00624D6D"/>
    <w:rsid w:val="00625446"/>
    <w:rsid w:val="006255D6"/>
    <w:rsid w:val="0062596A"/>
    <w:rsid w:val="006264D3"/>
    <w:rsid w:val="0062666D"/>
    <w:rsid w:val="006279AE"/>
    <w:rsid w:val="00630F50"/>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F18"/>
    <w:rsid w:val="0064502B"/>
    <w:rsid w:val="0064687A"/>
    <w:rsid w:val="00650858"/>
    <w:rsid w:val="00650A0F"/>
    <w:rsid w:val="00651BAA"/>
    <w:rsid w:val="00652B5E"/>
    <w:rsid w:val="00653A26"/>
    <w:rsid w:val="006540A0"/>
    <w:rsid w:val="006549E8"/>
    <w:rsid w:val="0065662C"/>
    <w:rsid w:val="00657282"/>
    <w:rsid w:val="0066161C"/>
    <w:rsid w:val="006618D9"/>
    <w:rsid w:val="006626F6"/>
    <w:rsid w:val="006627C2"/>
    <w:rsid w:val="006629F1"/>
    <w:rsid w:val="00662FCA"/>
    <w:rsid w:val="00664775"/>
    <w:rsid w:val="0066485C"/>
    <w:rsid w:val="006653C7"/>
    <w:rsid w:val="006655B7"/>
    <w:rsid w:val="0066623B"/>
    <w:rsid w:val="0066741A"/>
    <w:rsid w:val="00667453"/>
    <w:rsid w:val="006676F2"/>
    <w:rsid w:val="00667D20"/>
    <w:rsid w:val="00667FB6"/>
    <w:rsid w:val="006729A9"/>
    <w:rsid w:val="00672B01"/>
    <w:rsid w:val="006731D7"/>
    <w:rsid w:val="00673895"/>
    <w:rsid w:val="00673A66"/>
    <w:rsid w:val="00673DF8"/>
    <w:rsid w:val="00675C3C"/>
    <w:rsid w:val="00676328"/>
    <w:rsid w:val="00677187"/>
    <w:rsid w:val="006777A7"/>
    <w:rsid w:val="00677F83"/>
    <w:rsid w:val="0068062A"/>
    <w:rsid w:val="0068098F"/>
    <w:rsid w:val="00680D5E"/>
    <w:rsid w:val="00681271"/>
    <w:rsid w:val="00683D40"/>
    <w:rsid w:val="00683DE7"/>
    <w:rsid w:val="0068447A"/>
    <w:rsid w:val="00685455"/>
    <w:rsid w:val="0068566E"/>
    <w:rsid w:val="00685E01"/>
    <w:rsid w:val="0068772D"/>
    <w:rsid w:val="00687730"/>
    <w:rsid w:val="00687D4F"/>
    <w:rsid w:val="006905CC"/>
    <w:rsid w:val="00690A30"/>
    <w:rsid w:val="0069195E"/>
    <w:rsid w:val="00691A25"/>
    <w:rsid w:val="00692257"/>
    <w:rsid w:val="00692669"/>
    <w:rsid w:val="006952E2"/>
    <w:rsid w:val="00697746"/>
    <w:rsid w:val="00697B28"/>
    <w:rsid w:val="00697BC6"/>
    <w:rsid w:val="006A0870"/>
    <w:rsid w:val="006A0CC8"/>
    <w:rsid w:val="006A102D"/>
    <w:rsid w:val="006A2B05"/>
    <w:rsid w:val="006A2D10"/>
    <w:rsid w:val="006A4276"/>
    <w:rsid w:val="006A4CEC"/>
    <w:rsid w:val="006A54A9"/>
    <w:rsid w:val="006A592C"/>
    <w:rsid w:val="006A6BAA"/>
    <w:rsid w:val="006A7025"/>
    <w:rsid w:val="006A702A"/>
    <w:rsid w:val="006A7521"/>
    <w:rsid w:val="006B1B4A"/>
    <w:rsid w:val="006B1FCF"/>
    <w:rsid w:val="006B265B"/>
    <w:rsid w:val="006B399D"/>
    <w:rsid w:val="006B3EEF"/>
    <w:rsid w:val="006B4A32"/>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282E"/>
    <w:rsid w:val="006D384C"/>
    <w:rsid w:val="006D4F2E"/>
    <w:rsid w:val="006D5F96"/>
    <w:rsid w:val="006D7474"/>
    <w:rsid w:val="006E05A8"/>
    <w:rsid w:val="006E0C61"/>
    <w:rsid w:val="006E0C62"/>
    <w:rsid w:val="006E12A4"/>
    <w:rsid w:val="006E1518"/>
    <w:rsid w:val="006E1527"/>
    <w:rsid w:val="006E2119"/>
    <w:rsid w:val="006E3216"/>
    <w:rsid w:val="006E3779"/>
    <w:rsid w:val="006E3AF1"/>
    <w:rsid w:val="006E3DB4"/>
    <w:rsid w:val="006E3F0B"/>
    <w:rsid w:val="006E596E"/>
    <w:rsid w:val="006E5CF8"/>
    <w:rsid w:val="006E6242"/>
    <w:rsid w:val="006E67EE"/>
    <w:rsid w:val="006E7AF3"/>
    <w:rsid w:val="006F1A71"/>
    <w:rsid w:val="006F28C1"/>
    <w:rsid w:val="006F2D6B"/>
    <w:rsid w:val="006F54F5"/>
    <w:rsid w:val="006F6DC3"/>
    <w:rsid w:val="006F6EB5"/>
    <w:rsid w:val="006F7DDC"/>
    <w:rsid w:val="007007B7"/>
    <w:rsid w:val="007018BC"/>
    <w:rsid w:val="007026CC"/>
    <w:rsid w:val="00702A78"/>
    <w:rsid w:val="007037D7"/>
    <w:rsid w:val="0070452A"/>
    <w:rsid w:val="007052C1"/>
    <w:rsid w:val="00705A82"/>
    <w:rsid w:val="00706207"/>
    <w:rsid w:val="007063FF"/>
    <w:rsid w:val="00706B2A"/>
    <w:rsid w:val="00710473"/>
    <w:rsid w:val="007112E8"/>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20B2"/>
    <w:rsid w:val="00722D67"/>
    <w:rsid w:val="00723B56"/>
    <w:rsid w:val="00723CBD"/>
    <w:rsid w:val="00723F83"/>
    <w:rsid w:val="0072476C"/>
    <w:rsid w:val="00725480"/>
    <w:rsid w:val="00725790"/>
    <w:rsid w:val="007263A9"/>
    <w:rsid w:val="00726532"/>
    <w:rsid w:val="007267C7"/>
    <w:rsid w:val="00726A0B"/>
    <w:rsid w:val="00726E5F"/>
    <w:rsid w:val="00727D7D"/>
    <w:rsid w:val="0073050A"/>
    <w:rsid w:val="00730AC9"/>
    <w:rsid w:val="00730FC8"/>
    <w:rsid w:val="007310C2"/>
    <w:rsid w:val="0073143B"/>
    <w:rsid w:val="00731DAA"/>
    <w:rsid w:val="0073245B"/>
    <w:rsid w:val="00732A44"/>
    <w:rsid w:val="00732CE0"/>
    <w:rsid w:val="007332B7"/>
    <w:rsid w:val="007341F2"/>
    <w:rsid w:val="007357B9"/>
    <w:rsid w:val="00735A70"/>
    <w:rsid w:val="00736827"/>
    <w:rsid w:val="0073692E"/>
    <w:rsid w:val="00736FA1"/>
    <w:rsid w:val="0074034D"/>
    <w:rsid w:val="007407B0"/>
    <w:rsid w:val="00740CC4"/>
    <w:rsid w:val="00741004"/>
    <w:rsid w:val="00741321"/>
    <w:rsid w:val="0074208A"/>
    <w:rsid w:val="007423A5"/>
    <w:rsid w:val="00743297"/>
    <w:rsid w:val="0074399B"/>
    <w:rsid w:val="007439D0"/>
    <w:rsid w:val="0074413E"/>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8F6"/>
    <w:rsid w:val="00756BA6"/>
    <w:rsid w:val="007572D6"/>
    <w:rsid w:val="007577EE"/>
    <w:rsid w:val="00757A7C"/>
    <w:rsid w:val="00757DE7"/>
    <w:rsid w:val="00762920"/>
    <w:rsid w:val="00762A64"/>
    <w:rsid w:val="007636E4"/>
    <w:rsid w:val="00763CE4"/>
    <w:rsid w:val="00766127"/>
    <w:rsid w:val="00766242"/>
    <w:rsid w:val="00766518"/>
    <w:rsid w:val="00766FD8"/>
    <w:rsid w:val="00767042"/>
    <w:rsid w:val="0077102B"/>
    <w:rsid w:val="0077170D"/>
    <w:rsid w:val="00771AA2"/>
    <w:rsid w:val="00772996"/>
    <w:rsid w:val="00772D24"/>
    <w:rsid w:val="007732D7"/>
    <w:rsid w:val="00773976"/>
    <w:rsid w:val="00773ADA"/>
    <w:rsid w:val="00773F19"/>
    <w:rsid w:val="0077442C"/>
    <w:rsid w:val="00774787"/>
    <w:rsid w:val="007753DC"/>
    <w:rsid w:val="00775C74"/>
    <w:rsid w:val="007768F3"/>
    <w:rsid w:val="00776EAB"/>
    <w:rsid w:val="00777086"/>
    <w:rsid w:val="00780065"/>
    <w:rsid w:val="00780892"/>
    <w:rsid w:val="0078140E"/>
    <w:rsid w:val="007826D0"/>
    <w:rsid w:val="00782F59"/>
    <w:rsid w:val="0078352F"/>
    <w:rsid w:val="00783BAF"/>
    <w:rsid w:val="00784B48"/>
    <w:rsid w:val="00785359"/>
    <w:rsid w:val="007859C4"/>
    <w:rsid w:val="0078617D"/>
    <w:rsid w:val="007862CF"/>
    <w:rsid w:val="00786499"/>
    <w:rsid w:val="00786B20"/>
    <w:rsid w:val="00790C1B"/>
    <w:rsid w:val="0079114C"/>
    <w:rsid w:val="00791F62"/>
    <w:rsid w:val="0079374E"/>
    <w:rsid w:val="00793E6E"/>
    <w:rsid w:val="007955EF"/>
    <w:rsid w:val="007970D0"/>
    <w:rsid w:val="00797821"/>
    <w:rsid w:val="007A04A5"/>
    <w:rsid w:val="007A0517"/>
    <w:rsid w:val="007A0C75"/>
    <w:rsid w:val="007A14FB"/>
    <w:rsid w:val="007A2D94"/>
    <w:rsid w:val="007A3834"/>
    <w:rsid w:val="007A3DB5"/>
    <w:rsid w:val="007A497A"/>
    <w:rsid w:val="007A49B9"/>
    <w:rsid w:val="007A5D39"/>
    <w:rsid w:val="007A6222"/>
    <w:rsid w:val="007A659B"/>
    <w:rsid w:val="007A6D36"/>
    <w:rsid w:val="007A7979"/>
    <w:rsid w:val="007A7BBF"/>
    <w:rsid w:val="007A7C2C"/>
    <w:rsid w:val="007A7EC4"/>
    <w:rsid w:val="007B03FE"/>
    <w:rsid w:val="007B46B6"/>
    <w:rsid w:val="007B4BB1"/>
    <w:rsid w:val="007B5937"/>
    <w:rsid w:val="007B66E7"/>
    <w:rsid w:val="007B67E7"/>
    <w:rsid w:val="007B6D70"/>
    <w:rsid w:val="007C033E"/>
    <w:rsid w:val="007C0573"/>
    <w:rsid w:val="007C0EC8"/>
    <w:rsid w:val="007C0FBB"/>
    <w:rsid w:val="007C1232"/>
    <w:rsid w:val="007C1335"/>
    <w:rsid w:val="007C17EE"/>
    <w:rsid w:val="007C224F"/>
    <w:rsid w:val="007C23FD"/>
    <w:rsid w:val="007C2A63"/>
    <w:rsid w:val="007C3B71"/>
    <w:rsid w:val="007C4C91"/>
    <w:rsid w:val="007C6B29"/>
    <w:rsid w:val="007C7944"/>
    <w:rsid w:val="007C7BEF"/>
    <w:rsid w:val="007D0C28"/>
    <w:rsid w:val="007D21F7"/>
    <w:rsid w:val="007D241B"/>
    <w:rsid w:val="007D259F"/>
    <w:rsid w:val="007D2756"/>
    <w:rsid w:val="007D3FDF"/>
    <w:rsid w:val="007D47D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5DA0"/>
    <w:rsid w:val="007E5E70"/>
    <w:rsid w:val="007E5E80"/>
    <w:rsid w:val="007E6400"/>
    <w:rsid w:val="007E66F6"/>
    <w:rsid w:val="007E6D06"/>
    <w:rsid w:val="007E707D"/>
    <w:rsid w:val="007F0610"/>
    <w:rsid w:val="007F34E7"/>
    <w:rsid w:val="007F3C84"/>
    <w:rsid w:val="007F44BD"/>
    <w:rsid w:val="007F452B"/>
    <w:rsid w:val="007F50B0"/>
    <w:rsid w:val="007F631E"/>
    <w:rsid w:val="00802241"/>
    <w:rsid w:val="00803103"/>
    <w:rsid w:val="008044ED"/>
    <w:rsid w:val="0080488D"/>
    <w:rsid w:val="00804CD1"/>
    <w:rsid w:val="008051D2"/>
    <w:rsid w:val="0080797B"/>
    <w:rsid w:val="008122A7"/>
    <w:rsid w:val="00812757"/>
    <w:rsid w:val="00812BB1"/>
    <w:rsid w:val="00813166"/>
    <w:rsid w:val="0081394B"/>
    <w:rsid w:val="00813E64"/>
    <w:rsid w:val="008145EC"/>
    <w:rsid w:val="00814ACD"/>
    <w:rsid w:val="0081591D"/>
    <w:rsid w:val="00816801"/>
    <w:rsid w:val="008172E2"/>
    <w:rsid w:val="008173BB"/>
    <w:rsid w:val="0081770E"/>
    <w:rsid w:val="008178FB"/>
    <w:rsid w:val="00817AD5"/>
    <w:rsid w:val="00820279"/>
    <w:rsid w:val="00820D26"/>
    <w:rsid w:val="00820E07"/>
    <w:rsid w:val="00820E5D"/>
    <w:rsid w:val="00821631"/>
    <w:rsid w:val="00821E9C"/>
    <w:rsid w:val="00822AC7"/>
    <w:rsid w:val="00823ED2"/>
    <w:rsid w:val="00824417"/>
    <w:rsid w:val="008248BC"/>
    <w:rsid w:val="008249B7"/>
    <w:rsid w:val="008251B3"/>
    <w:rsid w:val="00826346"/>
    <w:rsid w:val="00826DDD"/>
    <w:rsid w:val="008276CF"/>
    <w:rsid w:val="0083000E"/>
    <w:rsid w:val="008305DB"/>
    <w:rsid w:val="008317B9"/>
    <w:rsid w:val="00832F57"/>
    <w:rsid w:val="00833371"/>
    <w:rsid w:val="00833DB2"/>
    <w:rsid w:val="0083497F"/>
    <w:rsid w:val="00834BA6"/>
    <w:rsid w:val="008365D2"/>
    <w:rsid w:val="00842B87"/>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B37"/>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35E7"/>
    <w:rsid w:val="00884570"/>
    <w:rsid w:val="00884588"/>
    <w:rsid w:val="00887035"/>
    <w:rsid w:val="00887C2A"/>
    <w:rsid w:val="00887F29"/>
    <w:rsid w:val="00890444"/>
    <w:rsid w:val="00890628"/>
    <w:rsid w:val="00890F38"/>
    <w:rsid w:val="008911AA"/>
    <w:rsid w:val="008916F1"/>
    <w:rsid w:val="00891D40"/>
    <w:rsid w:val="00891FD2"/>
    <w:rsid w:val="0089279C"/>
    <w:rsid w:val="008946CB"/>
    <w:rsid w:val="00894E4C"/>
    <w:rsid w:val="00895D2F"/>
    <w:rsid w:val="00895E3D"/>
    <w:rsid w:val="00896120"/>
    <w:rsid w:val="008965C3"/>
    <w:rsid w:val="0089673F"/>
    <w:rsid w:val="00896741"/>
    <w:rsid w:val="00896937"/>
    <w:rsid w:val="00896E75"/>
    <w:rsid w:val="0089773F"/>
    <w:rsid w:val="00897BB9"/>
    <w:rsid w:val="008A0656"/>
    <w:rsid w:val="008A0689"/>
    <w:rsid w:val="008A1D4D"/>
    <w:rsid w:val="008A2736"/>
    <w:rsid w:val="008A3A88"/>
    <w:rsid w:val="008A41E8"/>
    <w:rsid w:val="008A5388"/>
    <w:rsid w:val="008A59D7"/>
    <w:rsid w:val="008A6830"/>
    <w:rsid w:val="008A6C1A"/>
    <w:rsid w:val="008A70A5"/>
    <w:rsid w:val="008A72B2"/>
    <w:rsid w:val="008A7D2D"/>
    <w:rsid w:val="008B0B70"/>
    <w:rsid w:val="008B0F7C"/>
    <w:rsid w:val="008B1C58"/>
    <w:rsid w:val="008B3917"/>
    <w:rsid w:val="008B3DDA"/>
    <w:rsid w:val="008B4486"/>
    <w:rsid w:val="008B4C9A"/>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7039"/>
    <w:rsid w:val="008C7F3E"/>
    <w:rsid w:val="008D1B7C"/>
    <w:rsid w:val="008D3BC7"/>
    <w:rsid w:val="008D40C6"/>
    <w:rsid w:val="008D42B9"/>
    <w:rsid w:val="008D5233"/>
    <w:rsid w:val="008D641A"/>
    <w:rsid w:val="008D738E"/>
    <w:rsid w:val="008D778B"/>
    <w:rsid w:val="008D7921"/>
    <w:rsid w:val="008E0D24"/>
    <w:rsid w:val="008E2186"/>
    <w:rsid w:val="008E2304"/>
    <w:rsid w:val="008E23D9"/>
    <w:rsid w:val="008E3B2F"/>
    <w:rsid w:val="008E4A0D"/>
    <w:rsid w:val="008E55B9"/>
    <w:rsid w:val="008E5CEC"/>
    <w:rsid w:val="008E6CB4"/>
    <w:rsid w:val="008E6D60"/>
    <w:rsid w:val="008E7280"/>
    <w:rsid w:val="008F01D3"/>
    <w:rsid w:val="008F064C"/>
    <w:rsid w:val="008F115D"/>
    <w:rsid w:val="008F162D"/>
    <w:rsid w:val="008F1802"/>
    <w:rsid w:val="008F2286"/>
    <w:rsid w:val="008F2B72"/>
    <w:rsid w:val="008F2BE8"/>
    <w:rsid w:val="008F2DFA"/>
    <w:rsid w:val="008F325E"/>
    <w:rsid w:val="008F43C4"/>
    <w:rsid w:val="008F4D29"/>
    <w:rsid w:val="008F5820"/>
    <w:rsid w:val="008F62B2"/>
    <w:rsid w:val="008F63FD"/>
    <w:rsid w:val="009023FD"/>
    <w:rsid w:val="00902443"/>
    <w:rsid w:val="009029E7"/>
    <w:rsid w:val="00902E07"/>
    <w:rsid w:val="009030FD"/>
    <w:rsid w:val="0090350B"/>
    <w:rsid w:val="0090369D"/>
    <w:rsid w:val="00903F65"/>
    <w:rsid w:val="00904213"/>
    <w:rsid w:val="00905115"/>
    <w:rsid w:val="0090537E"/>
    <w:rsid w:val="009054B9"/>
    <w:rsid w:val="009063A3"/>
    <w:rsid w:val="00906918"/>
    <w:rsid w:val="00906E94"/>
    <w:rsid w:val="009074EB"/>
    <w:rsid w:val="00907EB8"/>
    <w:rsid w:val="00911166"/>
    <w:rsid w:val="0091157C"/>
    <w:rsid w:val="00911D33"/>
    <w:rsid w:val="00912603"/>
    <w:rsid w:val="00915B68"/>
    <w:rsid w:val="00915E27"/>
    <w:rsid w:val="00916363"/>
    <w:rsid w:val="009165EB"/>
    <w:rsid w:val="00916B7C"/>
    <w:rsid w:val="00916C85"/>
    <w:rsid w:val="00917511"/>
    <w:rsid w:val="009179F9"/>
    <w:rsid w:val="00917CF9"/>
    <w:rsid w:val="00920089"/>
    <w:rsid w:val="009209B7"/>
    <w:rsid w:val="00920CC5"/>
    <w:rsid w:val="00921528"/>
    <w:rsid w:val="009220E4"/>
    <w:rsid w:val="00922422"/>
    <w:rsid w:val="00925697"/>
    <w:rsid w:val="0092578E"/>
    <w:rsid w:val="009257F7"/>
    <w:rsid w:val="00925E27"/>
    <w:rsid w:val="00926456"/>
    <w:rsid w:val="00926DEC"/>
    <w:rsid w:val="00926F8E"/>
    <w:rsid w:val="009270E3"/>
    <w:rsid w:val="00927A49"/>
    <w:rsid w:val="00927DBD"/>
    <w:rsid w:val="00931494"/>
    <w:rsid w:val="0093243F"/>
    <w:rsid w:val="00932551"/>
    <w:rsid w:val="00932812"/>
    <w:rsid w:val="00933B54"/>
    <w:rsid w:val="00933D4D"/>
    <w:rsid w:val="00934D6B"/>
    <w:rsid w:val="00934E46"/>
    <w:rsid w:val="009352D3"/>
    <w:rsid w:val="009353B3"/>
    <w:rsid w:val="00935922"/>
    <w:rsid w:val="00936261"/>
    <w:rsid w:val="009364B9"/>
    <w:rsid w:val="009370A4"/>
    <w:rsid w:val="0093716C"/>
    <w:rsid w:val="00937778"/>
    <w:rsid w:val="00940077"/>
    <w:rsid w:val="0094085B"/>
    <w:rsid w:val="00940E35"/>
    <w:rsid w:val="00942148"/>
    <w:rsid w:val="0094266F"/>
    <w:rsid w:val="00942762"/>
    <w:rsid w:val="00942800"/>
    <w:rsid w:val="00942CB0"/>
    <w:rsid w:val="00943AB3"/>
    <w:rsid w:val="00944D51"/>
    <w:rsid w:val="00945201"/>
    <w:rsid w:val="00945B7B"/>
    <w:rsid w:val="00946073"/>
    <w:rsid w:val="009478FF"/>
    <w:rsid w:val="00950633"/>
    <w:rsid w:val="0095083B"/>
    <w:rsid w:val="00951170"/>
    <w:rsid w:val="0095194D"/>
    <w:rsid w:val="009519A8"/>
    <w:rsid w:val="00951ADA"/>
    <w:rsid w:val="00951D28"/>
    <w:rsid w:val="00952247"/>
    <w:rsid w:val="0095423E"/>
    <w:rsid w:val="00954473"/>
    <w:rsid w:val="00954476"/>
    <w:rsid w:val="009561B0"/>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5A6"/>
    <w:rsid w:val="00967DF8"/>
    <w:rsid w:val="00967ECA"/>
    <w:rsid w:val="009700C3"/>
    <w:rsid w:val="00970130"/>
    <w:rsid w:val="00970D68"/>
    <w:rsid w:val="009710DB"/>
    <w:rsid w:val="0097127F"/>
    <w:rsid w:val="009718FC"/>
    <w:rsid w:val="00971DC9"/>
    <w:rsid w:val="00972901"/>
    <w:rsid w:val="00972D2A"/>
    <w:rsid w:val="0097381F"/>
    <w:rsid w:val="009748A2"/>
    <w:rsid w:val="00975E39"/>
    <w:rsid w:val="009766DD"/>
    <w:rsid w:val="0097717B"/>
    <w:rsid w:val="00977B5E"/>
    <w:rsid w:val="009808EF"/>
    <w:rsid w:val="009819F6"/>
    <w:rsid w:val="00981C92"/>
    <w:rsid w:val="009845A7"/>
    <w:rsid w:val="00985546"/>
    <w:rsid w:val="009876A6"/>
    <w:rsid w:val="00987AF9"/>
    <w:rsid w:val="009901AA"/>
    <w:rsid w:val="0099063C"/>
    <w:rsid w:val="00991CAB"/>
    <w:rsid w:val="009921B2"/>
    <w:rsid w:val="00992562"/>
    <w:rsid w:val="00992B83"/>
    <w:rsid w:val="009930B3"/>
    <w:rsid w:val="009932D4"/>
    <w:rsid w:val="00993D51"/>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18A1"/>
    <w:rsid w:val="009B199E"/>
    <w:rsid w:val="009B19F9"/>
    <w:rsid w:val="009B1A1F"/>
    <w:rsid w:val="009B3972"/>
    <w:rsid w:val="009B470A"/>
    <w:rsid w:val="009B49BC"/>
    <w:rsid w:val="009B4BF1"/>
    <w:rsid w:val="009B54E7"/>
    <w:rsid w:val="009B574D"/>
    <w:rsid w:val="009B5DA3"/>
    <w:rsid w:val="009B61ED"/>
    <w:rsid w:val="009B78A5"/>
    <w:rsid w:val="009C0578"/>
    <w:rsid w:val="009C17FA"/>
    <w:rsid w:val="009C1981"/>
    <w:rsid w:val="009C25B5"/>
    <w:rsid w:val="009C2CDA"/>
    <w:rsid w:val="009C302E"/>
    <w:rsid w:val="009C354C"/>
    <w:rsid w:val="009C3E35"/>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22D"/>
    <w:rsid w:val="009E63B5"/>
    <w:rsid w:val="009E63C5"/>
    <w:rsid w:val="009E6692"/>
    <w:rsid w:val="009E67EA"/>
    <w:rsid w:val="009E6D00"/>
    <w:rsid w:val="009E6D64"/>
    <w:rsid w:val="009F07D9"/>
    <w:rsid w:val="009F0A85"/>
    <w:rsid w:val="009F17C9"/>
    <w:rsid w:val="009F1BEE"/>
    <w:rsid w:val="009F200C"/>
    <w:rsid w:val="009F332F"/>
    <w:rsid w:val="009F338C"/>
    <w:rsid w:val="009F36CE"/>
    <w:rsid w:val="009F4580"/>
    <w:rsid w:val="009F551A"/>
    <w:rsid w:val="009F5C59"/>
    <w:rsid w:val="009F5E3A"/>
    <w:rsid w:val="009F5FC5"/>
    <w:rsid w:val="009F6697"/>
    <w:rsid w:val="009F68E7"/>
    <w:rsid w:val="009F6FD5"/>
    <w:rsid w:val="009F7C31"/>
    <w:rsid w:val="009F7D0A"/>
    <w:rsid w:val="009F7D71"/>
    <w:rsid w:val="00A00B4F"/>
    <w:rsid w:val="00A02233"/>
    <w:rsid w:val="00A02803"/>
    <w:rsid w:val="00A029D6"/>
    <w:rsid w:val="00A02A4A"/>
    <w:rsid w:val="00A041DF"/>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A2D"/>
    <w:rsid w:val="00A14F1F"/>
    <w:rsid w:val="00A16A05"/>
    <w:rsid w:val="00A200D7"/>
    <w:rsid w:val="00A21CB2"/>
    <w:rsid w:val="00A21CCC"/>
    <w:rsid w:val="00A21DC7"/>
    <w:rsid w:val="00A21FB4"/>
    <w:rsid w:val="00A2378B"/>
    <w:rsid w:val="00A2391E"/>
    <w:rsid w:val="00A23F25"/>
    <w:rsid w:val="00A240DA"/>
    <w:rsid w:val="00A265A1"/>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305C"/>
    <w:rsid w:val="00A55032"/>
    <w:rsid w:val="00A551D3"/>
    <w:rsid w:val="00A55BCC"/>
    <w:rsid w:val="00A56FC2"/>
    <w:rsid w:val="00A6044C"/>
    <w:rsid w:val="00A62E79"/>
    <w:rsid w:val="00A63F49"/>
    <w:rsid w:val="00A641AF"/>
    <w:rsid w:val="00A6526E"/>
    <w:rsid w:val="00A65BBA"/>
    <w:rsid w:val="00A6732B"/>
    <w:rsid w:val="00A67394"/>
    <w:rsid w:val="00A677B1"/>
    <w:rsid w:val="00A709E8"/>
    <w:rsid w:val="00A73080"/>
    <w:rsid w:val="00A75542"/>
    <w:rsid w:val="00A7613A"/>
    <w:rsid w:val="00A769DE"/>
    <w:rsid w:val="00A76CB3"/>
    <w:rsid w:val="00A76E25"/>
    <w:rsid w:val="00A802A4"/>
    <w:rsid w:val="00A80483"/>
    <w:rsid w:val="00A80F07"/>
    <w:rsid w:val="00A810D1"/>
    <w:rsid w:val="00A81158"/>
    <w:rsid w:val="00A81904"/>
    <w:rsid w:val="00A81A80"/>
    <w:rsid w:val="00A81C35"/>
    <w:rsid w:val="00A836ED"/>
    <w:rsid w:val="00A837FA"/>
    <w:rsid w:val="00A84043"/>
    <w:rsid w:val="00A84066"/>
    <w:rsid w:val="00A84297"/>
    <w:rsid w:val="00A85022"/>
    <w:rsid w:val="00A8527E"/>
    <w:rsid w:val="00A8545F"/>
    <w:rsid w:val="00A866D6"/>
    <w:rsid w:val="00A86895"/>
    <w:rsid w:val="00A86D8E"/>
    <w:rsid w:val="00A86F0A"/>
    <w:rsid w:val="00A87F6C"/>
    <w:rsid w:val="00A9328F"/>
    <w:rsid w:val="00A93A98"/>
    <w:rsid w:val="00A95CF5"/>
    <w:rsid w:val="00A96E04"/>
    <w:rsid w:val="00AA00CE"/>
    <w:rsid w:val="00AA011C"/>
    <w:rsid w:val="00AA037D"/>
    <w:rsid w:val="00AA06C6"/>
    <w:rsid w:val="00AA0AEA"/>
    <w:rsid w:val="00AA1438"/>
    <w:rsid w:val="00AA1CC9"/>
    <w:rsid w:val="00AA2BFD"/>
    <w:rsid w:val="00AA3150"/>
    <w:rsid w:val="00AA36FF"/>
    <w:rsid w:val="00AA3C5A"/>
    <w:rsid w:val="00AA3C83"/>
    <w:rsid w:val="00AA53A9"/>
    <w:rsid w:val="00AA54DA"/>
    <w:rsid w:val="00AA5ECD"/>
    <w:rsid w:val="00AA6B88"/>
    <w:rsid w:val="00AA7DDD"/>
    <w:rsid w:val="00AA7F1A"/>
    <w:rsid w:val="00AB02B4"/>
    <w:rsid w:val="00AB24C7"/>
    <w:rsid w:val="00AB2C5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812"/>
    <w:rsid w:val="00AD08EF"/>
    <w:rsid w:val="00AD1102"/>
    <w:rsid w:val="00AD1428"/>
    <w:rsid w:val="00AD1BF3"/>
    <w:rsid w:val="00AD2645"/>
    <w:rsid w:val="00AD43A8"/>
    <w:rsid w:val="00AD65AA"/>
    <w:rsid w:val="00AD71B9"/>
    <w:rsid w:val="00AD71C8"/>
    <w:rsid w:val="00AD78AB"/>
    <w:rsid w:val="00AD7C85"/>
    <w:rsid w:val="00AD7E7C"/>
    <w:rsid w:val="00AE082A"/>
    <w:rsid w:val="00AE0C78"/>
    <w:rsid w:val="00AE2242"/>
    <w:rsid w:val="00AE2DF2"/>
    <w:rsid w:val="00AE31B6"/>
    <w:rsid w:val="00AE41A0"/>
    <w:rsid w:val="00AE4223"/>
    <w:rsid w:val="00AE4B09"/>
    <w:rsid w:val="00AE6337"/>
    <w:rsid w:val="00AE64D3"/>
    <w:rsid w:val="00AF1393"/>
    <w:rsid w:val="00AF14AE"/>
    <w:rsid w:val="00AF1BF7"/>
    <w:rsid w:val="00AF1CE6"/>
    <w:rsid w:val="00AF3419"/>
    <w:rsid w:val="00AF3E16"/>
    <w:rsid w:val="00AF467D"/>
    <w:rsid w:val="00AF6166"/>
    <w:rsid w:val="00AF6BC6"/>
    <w:rsid w:val="00AF6D2D"/>
    <w:rsid w:val="00AF6DCE"/>
    <w:rsid w:val="00AF76F0"/>
    <w:rsid w:val="00AF7E04"/>
    <w:rsid w:val="00B00114"/>
    <w:rsid w:val="00B00456"/>
    <w:rsid w:val="00B01378"/>
    <w:rsid w:val="00B01B4F"/>
    <w:rsid w:val="00B027CA"/>
    <w:rsid w:val="00B0289F"/>
    <w:rsid w:val="00B0297E"/>
    <w:rsid w:val="00B032C0"/>
    <w:rsid w:val="00B03590"/>
    <w:rsid w:val="00B0376A"/>
    <w:rsid w:val="00B03C36"/>
    <w:rsid w:val="00B04C1E"/>
    <w:rsid w:val="00B056F3"/>
    <w:rsid w:val="00B05B41"/>
    <w:rsid w:val="00B063C4"/>
    <w:rsid w:val="00B06D18"/>
    <w:rsid w:val="00B07C7F"/>
    <w:rsid w:val="00B1061F"/>
    <w:rsid w:val="00B11361"/>
    <w:rsid w:val="00B12007"/>
    <w:rsid w:val="00B121E8"/>
    <w:rsid w:val="00B14B71"/>
    <w:rsid w:val="00B14F47"/>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FEB"/>
    <w:rsid w:val="00B305F7"/>
    <w:rsid w:val="00B30602"/>
    <w:rsid w:val="00B32559"/>
    <w:rsid w:val="00B325D0"/>
    <w:rsid w:val="00B3263D"/>
    <w:rsid w:val="00B3433C"/>
    <w:rsid w:val="00B34575"/>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46C10"/>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6D83"/>
    <w:rsid w:val="00B570CC"/>
    <w:rsid w:val="00B571C0"/>
    <w:rsid w:val="00B57E5D"/>
    <w:rsid w:val="00B60463"/>
    <w:rsid w:val="00B61845"/>
    <w:rsid w:val="00B618F7"/>
    <w:rsid w:val="00B62CF0"/>
    <w:rsid w:val="00B63076"/>
    <w:rsid w:val="00B63141"/>
    <w:rsid w:val="00B63155"/>
    <w:rsid w:val="00B6316D"/>
    <w:rsid w:val="00B63262"/>
    <w:rsid w:val="00B63DEC"/>
    <w:rsid w:val="00B647D2"/>
    <w:rsid w:val="00B64886"/>
    <w:rsid w:val="00B6488E"/>
    <w:rsid w:val="00B64DE7"/>
    <w:rsid w:val="00B653D6"/>
    <w:rsid w:val="00B66EF8"/>
    <w:rsid w:val="00B67A66"/>
    <w:rsid w:val="00B7085F"/>
    <w:rsid w:val="00B72202"/>
    <w:rsid w:val="00B735E3"/>
    <w:rsid w:val="00B742DE"/>
    <w:rsid w:val="00B747AC"/>
    <w:rsid w:val="00B74D14"/>
    <w:rsid w:val="00B76247"/>
    <w:rsid w:val="00B76831"/>
    <w:rsid w:val="00B76D19"/>
    <w:rsid w:val="00B77333"/>
    <w:rsid w:val="00B77A24"/>
    <w:rsid w:val="00B77E17"/>
    <w:rsid w:val="00B80B7E"/>
    <w:rsid w:val="00B81970"/>
    <w:rsid w:val="00B81F86"/>
    <w:rsid w:val="00B821B5"/>
    <w:rsid w:val="00B82800"/>
    <w:rsid w:val="00B82D41"/>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6DB9"/>
    <w:rsid w:val="00B971B9"/>
    <w:rsid w:val="00BA0514"/>
    <w:rsid w:val="00BA0580"/>
    <w:rsid w:val="00BA07A0"/>
    <w:rsid w:val="00BA0AEF"/>
    <w:rsid w:val="00BA0C25"/>
    <w:rsid w:val="00BA12A5"/>
    <w:rsid w:val="00BA1E34"/>
    <w:rsid w:val="00BA1F01"/>
    <w:rsid w:val="00BA26B7"/>
    <w:rsid w:val="00BA2976"/>
    <w:rsid w:val="00BA30C2"/>
    <w:rsid w:val="00BA3731"/>
    <w:rsid w:val="00BA4319"/>
    <w:rsid w:val="00BA4B58"/>
    <w:rsid w:val="00BA5E82"/>
    <w:rsid w:val="00BA688D"/>
    <w:rsid w:val="00BB0491"/>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18E6"/>
    <w:rsid w:val="00BC2C2C"/>
    <w:rsid w:val="00BC30BA"/>
    <w:rsid w:val="00BC31FE"/>
    <w:rsid w:val="00BC33B2"/>
    <w:rsid w:val="00BC4194"/>
    <w:rsid w:val="00BC5643"/>
    <w:rsid w:val="00BC5DCD"/>
    <w:rsid w:val="00BC6382"/>
    <w:rsid w:val="00BC64D9"/>
    <w:rsid w:val="00BC6755"/>
    <w:rsid w:val="00BC6BD9"/>
    <w:rsid w:val="00BC76A9"/>
    <w:rsid w:val="00BC7701"/>
    <w:rsid w:val="00BC78BE"/>
    <w:rsid w:val="00BD2231"/>
    <w:rsid w:val="00BD3BDC"/>
    <w:rsid w:val="00BD5380"/>
    <w:rsid w:val="00BD556B"/>
    <w:rsid w:val="00BD559F"/>
    <w:rsid w:val="00BD5754"/>
    <w:rsid w:val="00BD5C87"/>
    <w:rsid w:val="00BD6711"/>
    <w:rsid w:val="00BD6864"/>
    <w:rsid w:val="00BD6F00"/>
    <w:rsid w:val="00BD71F6"/>
    <w:rsid w:val="00BD7F88"/>
    <w:rsid w:val="00BE0270"/>
    <w:rsid w:val="00BE0A50"/>
    <w:rsid w:val="00BE1093"/>
    <w:rsid w:val="00BE2D47"/>
    <w:rsid w:val="00BE3312"/>
    <w:rsid w:val="00BE4363"/>
    <w:rsid w:val="00BE51B3"/>
    <w:rsid w:val="00BE548A"/>
    <w:rsid w:val="00BE6073"/>
    <w:rsid w:val="00BE637D"/>
    <w:rsid w:val="00BE7841"/>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1EB7"/>
    <w:rsid w:val="00C022AB"/>
    <w:rsid w:val="00C02AC3"/>
    <w:rsid w:val="00C031C7"/>
    <w:rsid w:val="00C03486"/>
    <w:rsid w:val="00C05556"/>
    <w:rsid w:val="00C069BE"/>
    <w:rsid w:val="00C06E37"/>
    <w:rsid w:val="00C07CDB"/>
    <w:rsid w:val="00C07DF3"/>
    <w:rsid w:val="00C1047C"/>
    <w:rsid w:val="00C10D82"/>
    <w:rsid w:val="00C11318"/>
    <w:rsid w:val="00C11FCE"/>
    <w:rsid w:val="00C12ED0"/>
    <w:rsid w:val="00C12ED7"/>
    <w:rsid w:val="00C130FF"/>
    <w:rsid w:val="00C14119"/>
    <w:rsid w:val="00C14CA3"/>
    <w:rsid w:val="00C14D38"/>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578"/>
    <w:rsid w:val="00C27D2C"/>
    <w:rsid w:val="00C313B1"/>
    <w:rsid w:val="00C31558"/>
    <w:rsid w:val="00C32068"/>
    <w:rsid w:val="00C32348"/>
    <w:rsid w:val="00C33885"/>
    <w:rsid w:val="00C341D7"/>
    <w:rsid w:val="00C36671"/>
    <w:rsid w:val="00C36F27"/>
    <w:rsid w:val="00C37559"/>
    <w:rsid w:val="00C37FBB"/>
    <w:rsid w:val="00C400E3"/>
    <w:rsid w:val="00C40301"/>
    <w:rsid w:val="00C4188E"/>
    <w:rsid w:val="00C4227B"/>
    <w:rsid w:val="00C42C5B"/>
    <w:rsid w:val="00C42E19"/>
    <w:rsid w:val="00C434B9"/>
    <w:rsid w:val="00C4380B"/>
    <w:rsid w:val="00C441CA"/>
    <w:rsid w:val="00C44FA1"/>
    <w:rsid w:val="00C45539"/>
    <w:rsid w:val="00C4624D"/>
    <w:rsid w:val="00C4679B"/>
    <w:rsid w:val="00C468BF"/>
    <w:rsid w:val="00C468FC"/>
    <w:rsid w:val="00C46BB7"/>
    <w:rsid w:val="00C47D63"/>
    <w:rsid w:val="00C47F5A"/>
    <w:rsid w:val="00C50649"/>
    <w:rsid w:val="00C52B2A"/>
    <w:rsid w:val="00C5332F"/>
    <w:rsid w:val="00C54ADE"/>
    <w:rsid w:val="00C5583A"/>
    <w:rsid w:val="00C55E51"/>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946"/>
    <w:rsid w:val="00C66B4B"/>
    <w:rsid w:val="00C673FC"/>
    <w:rsid w:val="00C67CC9"/>
    <w:rsid w:val="00C7069B"/>
    <w:rsid w:val="00C7104C"/>
    <w:rsid w:val="00C72B85"/>
    <w:rsid w:val="00C73005"/>
    <w:rsid w:val="00C737AB"/>
    <w:rsid w:val="00C74A37"/>
    <w:rsid w:val="00C76C91"/>
    <w:rsid w:val="00C7745B"/>
    <w:rsid w:val="00C779B2"/>
    <w:rsid w:val="00C81ECA"/>
    <w:rsid w:val="00C83A2F"/>
    <w:rsid w:val="00C83AFE"/>
    <w:rsid w:val="00C84B7E"/>
    <w:rsid w:val="00C85015"/>
    <w:rsid w:val="00C85784"/>
    <w:rsid w:val="00C85A54"/>
    <w:rsid w:val="00C85E12"/>
    <w:rsid w:val="00C85FC7"/>
    <w:rsid w:val="00C862A6"/>
    <w:rsid w:val="00C862B3"/>
    <w:rsid w:val="00C86707"/>
    <w:rsid w:val="00C869AE"/>
    <w:rsid w:val="00C87BA6"/>
    <w:rsid w:val="00C87FC9"/>
    <w:rsid w:val="00C90C73"/>
    <w:rsid w:val="00C91158"/>
    <w:rsid w:val="00C912AA"/>
    <w:rsid w:val="00C9232D"/>
    <w:rsid w:val="00C93EB2"/>
    <w:rsid w:val="00C94AA8"/>
    <w:rsid w:val="00C94EEB"/>
    <w:rsid w:val="00C94FE2"/>
    <w:rsid w:val="00C94FF1"/>
    <w:rsid w:val="00C95096"/>
    <w:rsid w:val="00C95B80"/>
    <w:rsid w:val="00C968A8"/>
    <w:rsid w:val="00C9796B"/>
    <w:rsid w:val="00C97D4C"/>
    <w:rsid w:val="00CA1598"/>
    <w:rsid w:val="00CA15FD"/>
    <w:rsid w:val="00CA1D1D"/>
    <w:rsid w:val="00CA35D1"/>
    <w:rsid w:val="00CA3753"/>
    <w:rsid w:val="00CA4D34"/>
    <w:rsid w:val="00CA69F1"/>
    <w:rsid w:val="00CA6E90"/>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2559"/>
    <w:rsid w:val="00CC3176"/>
    <w:rsid w:val="00CC3AF1"/>
    <w:rsid w:val="00CC3B59"/>
    <w:rsid w:val="00CC4420"/>
    <w:rsid w:val="00CC4443"/>
    <w:rsid w:val="00CC4483"/>
    <w:rsid w:val="00CC4B8C"/>
    <w:rsid w:val="00CC5083"/>
    <w:rsid w:val="00CC56A2"/>
    <w:rsid w:val="00CC7579"/>
    <w:rsid w:val="00CC7B7D"/>
    <w:rsid w:val="00CD0638"/>
    <w:rsid w:val="00CD102B"/>
    <w:rsid w:val="00CD12C9"/>
    <w:rsid w:val="00CD1F34"/>
    <w:rsid w:val="00CD210A"/>
    <w:rsid w:val="00CD285C"/>
    <w:rsid w:val="00CD2DE5"/>
    <w:rsid w:val="00CD3BFC"/>
    <w:rsid w:val="00CD5390"/>
    <w:rsid w:val="00CD571E"/>
    <w:rsid w:val="00CD630E"/>
    <w:rsid w:val="00CD6CF5"/>
    <w:rsid w:val="00CD7F4F"/>
    <w:rsid w:val="00CD7FAC"/>
    <w:rsid w:val="00CE06EE"/>
    <w:rsid w:val="00CE13CC"/>
    <w:rsid w:val="00CE1C22"/>
    <w:rsid w:val="00CE252F"/>
    <w:rsid w:val="00CE2C9A"/>
    <w:rsid w:val="00CE404F"/>
    <w:rsid w:val="00CE502F"/>
    <w:rsid w:val="00CE51C9"/>
    <w:rsid w:val="00CE56D3"/>
    <w:rsid w:val="00CE5951"/>
    <w:rsid w:val="00CE6393"/>
    <w:rsid w:val="00CE7456"/>
    <w:rsid w:val="00CE7F17"/>
    <w:rsid w:val="00CF155F"/>
    <w:rsid w:val="00CF1BD1"/>
    <w:rsid w:val="00CF2CA4"/>
    <w:rsid w:val="00CF321B"/>
    <w:rsid w:val="00CF408C"/>
    <w:rsid w:val="00CF4B7E"/>
    <w:rsid w:val="00CF59C0"/>
    <w:rsid w:val="00CF5BBE"/>
    <w:rsid w:val="00CF5F64"/>
    <w:rsid w:val="00CF6216"/>
    <w:rsid w:val="00CF6D42"/>
    <w:rsid w:val="00CF6F10"/>
    <w:rsid w:val="00CF7153"/>
    <w:rsid w:val="00CF771B"/>
    <w:rsid w:val="00CF7E0A"/>
    <w:rsid w:val="00CF7E80"/>
    <w:rsid w:val="00D010AB"/>
    <w:rsid w:val="00D0189E"/>
    <w:rsid w:val="00D02440"/>
    <w:rsid w:val="00D027A3"/>
    <w:rsid w:val="00D02E99"/>
    <w:rsid w:val="00D0321E"/>
    <w:rsid w:val="00D03FA7"/>
    <w:rsid w:val="00D04D02"/>
    <w:rsid w:val="00D05698"/>
    <w:rsid w:val="00D05B1C"/>
    <w:rsid w:val="00D06010"/>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781"/>
    <w:rsid w:val="00D27EED"/>
    <w:rsid w:val="00D27FBC"/>
    <w:rsid w:val="00D30263"/>
    <w:rsid w:val="00D30D72"/>
    <w:rsid w:val="00D32C21"/>
    <w:rsid w:val="00D33530"/>
    <w:rsid w:val="00D33AD6"/>
    <w:rsid w:val="00D35EDF"/>
    <w:rsid w:val="00D363ED"/>
    <w:rsid w:val="00D36D48"/>
    <w:rsid w:val="00D370AD"/>
    <w:rsid w:val="00D379FC"/>
    <w:rsid w:val="00D407EF"/>
    <w:rsid w:val="00D41006"/>
    <w:rsid w:val="00D411D0"/>
    <w:rsid w:val="00D41AAC"/>
    <w:rsid w:val="00D42073"/>
    <w:rsid w:val="00D42F3D"/>
    <w:rsid w:val="00D430FC"/>
    <w:rsid w:val="00D45958"/>
    <w:rsid w:val="00D45B40"/>
    <w:rsid w:val="00D475C6"/>
    <w:rsid w:val="00D5047B"/>
    <w:rsid w:val="00D5159C"/>
    <w:rsid w:val="00D52203"/>
    <w:rsid w:val="00D52599"/>
    <w:rsid w:val="00D52DE3"/>
    <w:rsid w:val="00D53057"/>
    <w:rsid w:val="00D5361C"/>
    <w:rsid w:val="00D53CF1"/>
    <w:rsid w:val="00D53FFB"/>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58A9"/>
    <w:rsid w:val="00D66B1D"/>
    <w:rsid w:val="00D66F76"/>
    <w:rsid w:val="00D6703F"/>
    <w:rsid w:val="00D67EAE"/>
    <w:rsid w:val="00D67EF5"/>
    <w:rsid w:val="00D67FD9"/>
    <w:rsid w:val="00D72176"/>
    <w:rsid w:val="00D722BE"/>
    <w:rsid w:val="00D72AD7"/>
    <w:rsid w:val="00D731A8"/>
    <w:rsid w:val="00D7518D"/>
    <w:rsid w:val="00D7561A"/>
    <w:rsid w:val="00D7574F"/>
    <w:rsid w:val="00D75945"/>
    <w:rsid w:val="00D765B3"/>
    <w:rsid w:val="00D7663A"/>
    <w:rsid w:val="00D77267"/>
    <w:rsid w:val="00D779DD"/>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3851"/>
    <w:rsid w:val="00D94AAD"/>
    <w:rsid w:val="00D950AE"/>
    <w:rsid w:val="00D954AC"/>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19A7"/>
    <w:rsid w:val="00DC2F12"/>
    <w:rsid w:val="00DC3048"/>
    <w:rsid w:val="00DC3536"/>
    <w:rsid w:val="00DC38EA"/>
    <w:rsid w:val="00DC487D"/>
    <w:rsid w:val="00DC5D3C"/>
    <w:rsid w:val="00DC68AC"/>
    <w:rsid w:val="00DC68E4"/>
    <w:rsid w:val="00DC7691"/>
    <w:rsid w:val="00DC78C6"/>
    <w:rsid w:val="00DC7997"/>
    <w:rsid w:val="00DD11CB"/>
    <w:rsid w:val="00DD1823"/>
    <w:rsid w:val="00DD2FAE"/>
    <w:rsid w:val="00DD4250"/>
    <w:rsid w:val="00DD4275"/>
    <w:rsid w:val="00DD479E"/>
    <w:rsid w:val="00DD4E4A"/>
    <w:rsid w:val="00DD66E2"/>
    <w:rsid w:val="00DD70B1"/>
    <w:rsid w:val="00DE040D"/>
    <w:rsid w:val="00DE084D"/>
    <w:rsid w:val="00DE09D0"/>
    <w:rsid w:val="00DE20A2"/>
    <w:rsid w:val="00DE337E"/>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104"/>
    <w:rsid w:val="00E0560B"/>
    <w:rsid w:val="00E05C86"/>
    <w:rsid w:val="00E11004"/>
    <w:rsid w:val="00E11573"/>
    <w:rsid w:val="00E11E46"/>
    <w:rsid w:val="00E13100"/>
    <w:rsid w:val="00E13740"/>
    <w:rsid w:val="00E1427D"/>
    <w:rsid w:val="00E15B91"/>
    <w:rsid w:val="00E15D13"/>
    <w:rsid w:val="00E2095F"/>
    <w:rsid w:val="00E21591"/>
    <w:rsid w:val="00E218B1"/>
    <w:rsid w:val="00E21AB8"/>
    <w:rsid w:val="00E223A2"/>
    <w:rsid w:val="00E2287B"/>
    <w:rsid w:val="00E22CD9"/>
    <w:rsid w:val="00E23854"/>
    <w:rsid w:val="00E23CE5"/>
    <w:rsid w:val="00E25412"/>
    <w:rsid w:val="00E26CB5"/>
    <w:rsid w:val="00E27469"/>
    <w:rsid w:val="00E30C41"/>
    <w:rsid w:val="00E30DB5"/>
    <w:rsid w:val="00E31609"/>
    <w:rsid w:val="00E328A1"/>
    <w:rsid w:val="00E32F3B"/>
    <w:rsid w:val="00E33142"/>
    <w:rsid w:val="00E336D8"/>
    <w:rsid w:val="00E34913"/>
    <w:rsid w:val="00E34B30"/>
    <w:rsid w:val="00E34BD3"/>
    <w:rsid w:val="00E35496"/>
    <w:rsid w:val="00E3552D"/>
    <w:rsid w:val="00E355F4"/>
    <w:rsid w:val="00E360C6"/>
    <w:rsid w:val="00E36CC8"/>
    <w:rsid w:val="00E3766D"/>
    <w:rsid w:val="00E40074"/>
    <w:rsid w:val="00E40998"/>
    <w:rsid w:val="00E40D28"/>
    <w:rsid w:val="00E42841"/>
    <w:rsid w:val="00E4320C"/>
    <w:rsid w:val="00E437C7"/>
    <w:rsid w:val="00E44D22"/>
    <w:rsid w:val="00E45C6E"/>
    <w:rsid w:val="00E45DF4"/>
    <w:rsid w:val="00E46069"/>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709B0"/>
    <w:rsid w:val="00E71758"/>
    <w:rsid w:val="00E71B82"/>
    <w:rsid w:val="00E73028"/>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779CD"/>
    <w:rsid w:val="00E81732"/>
    <w:rsid w:val="00E82DFE"/>
    <w:rsid w:val="00E846DC"/>
    <w:rsid w:val="00E8675D"/>
    <w:rsid w:val="00E86E75"/>
    <w:rsid w:val="00E87BAF"/>
    <w:rsid w:val="00E910AD"/>
    <w:rsid w:val="00E91257"/>
    <w:rsid w:val="00E91B91"/>
    <w:rsid w:val="00E93413"/>
    <w:rsid w:val="00E93D16"/>
    <w:rsid w:val="00E94B69"/>
    <w:rsid w:val="00E953AD"/>
    <w:rsid w:val="00E95C1C"/>
    <w:rsid w:val="00E964CB"/>
    <w:rsid w:val="00E96E6B"/>
    <w:rsid w:val="00EA051A"/>
    <w:rsid w:val="00EA0E4A"/>
    <w:rsid w:val="00EA0EDB"/>
    <w:rsid w:val="00EA16DD"/>
    <w:rsid w:val="00EA250F"/>
    <w:rsid w:val="00EA2774"/>
    <w:rsid w:val="00EA28A0"/>
    <w:rsid w:val="00EA3A52"/>
    <w:rsid w:val="00EA41E7"/>
    <w:rsid w:val="00EA42D6"/>
    <w:rsid w:val="00EA49D8"/>
    <w:rsid w:val="00EA4A75"/>
    <w:rsid w:val="00EA52B1"/>
    <w:rsid w:val="00EA620A"/>
    <w:rsid w:val="00EA6971"/>
    <w:rsid w:val="00EA749F"/>
    <w:rsid w:val="00EB1494"/>
    <w:rsid w:val="00EB162C"/>
    <w:rsid w:val="00EB219D"/>
    <w:rsid w:val="00EB3849"/>
    <w:rsid w:val="00EB462B"/>
    <w:rsid w:val="00EB6CD0"/>
    <w:rsid w:val="00EB707D"/>
    <w:rsid w:val="00EB7262"/>
    <w:rsid w:val="00EB72AE"/>
    <w:rsid w:val="00EB74BF"/>
    <w:rsid w:val="00EB76BC"/>
    <w:rsid w:val="00EC0E27"/>
    <w:rsid w:val="00EC19DC"/>
    <w:rsid w:val="00EC1C9E"/>
    <w:rsid w:val="00EC2F52"/>
    <w:rsid w:val="00EC3207"/>
    <w:rsid w:val="00EC3976"/>
    <w:rsid w:val="00EC4A0A"/>
    <w:rsid w:val="00EC521B"/>
    <w:rsid w:val="00EC6D3F"/>
    <w:rsid w:val="00EC7A46"/>
    <w:rsid w:val="00ED0875"/>
    <w:rsid w:val="00ED12E5"/>
    <w:rsid w:val="00ED13A9"/>
    <w:rsid w:val="00ED183F"/>
    <w:rsid w:val="00ED1B58"/>
    <w:rsid w:val="00ED21C7"/>
    <w:rsid w:val="00ED2E53"/>
    <w:rsid w:val="00ED418E"/>
    <w:rsid w:val="00ED42FC"/>
    <w:rsid w:val="00ED46D5"/>
    <w:rsid w:val="00ED4DE9"/>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025D"/>
    <w:rsid w:val="00EF111F"/>
    <w:rsid w:val="00EF1131"/>
    <w:rsid w:val="00EF1C76"/>
    <w:rsid w:val="00EF1EA9"/>
    <w:rsid w:val="00EF1EBB"/>
    <w:rsid w:val="00EF4AB3"/>
    <w:rsid w:val="00EF551D"/>
    <w:rsid w:val="00EF56F7"/>
    <w:rsid w:val="00EF59D1"/>
    <w:rsid w:val="00EF69C9"/>
    <w:rsid w:val="00EF6ADA"/>
    <w:rsid w:val="00EF6FC6"/>
    <w:rsid w:val="00EF7374"/>
    <w:rsid w:val="00F00076"/>
    <w:rsid w:val="00F004C6"/>
    <w:rsid w:val="00F0148F"/>
    <w:rsid w:val="00F01594"/>
    <w:rsid w:val="00F01D45"/>
    <w:rsid w:val="00F02873"/>
    <w:rsid w:val="00F02B5A"/>
    <w:rsid w:val="00F03A1B"/>
    <w:rsid w:val="00F05B34"/>
    <w:rsid w:val="00F0635A"/>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3CC4"/>
    <w:rsid w:val="00F1453B"/>
    <w:rsid w:val="00F14720"/>
    <w:rsid w:val="00F153A0"/>
    <w:rsid w:val="00F155AF"/>
    <w:rsid w:val="00F158FD"/>
    <w:rsid w:val="00F16153"/>
    <w:rsid w:val="00F164CD"/>
    <w:rsid w:val="00F16751"/>
    <w:rsid w:val="00F16B5D"/>
    <w:rsid w:val="00F16BFD"/>
    <w:rsid w:val="00F17A03"/>
    <w:rsid w:val="00F17B15"/>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8E7"/>
    <w:rsid w:val="00F34C55"/>
    <w:rsid w:val="00F3543E"/>
    <w:rsid w:val="00F3651E"/>
    <w:rsid w:val="00F3685F"/>
    <w:rsid w:val="00F37C2B"/>
    <w:rsid w:val="00F40882"/>
    <w:rsid w:val="00F4146F"/>
    <w:rsid w:val="00F41983"/>
    <w:rsid w:val="00F41A58"/>
    <w:rsid w:val="00F41BEE"/>
    <w:rsid w:val="00F421DD"/>
    <w:rsid w:val="00F42967"/>
    <w:rsid w:val="00F43368"/>
    <w:rsid w:val="00F452CF"/>
    <w:rsid w:val="00F454DD"/>
    <w:rsid w:val="00F47254"/>
    <w:rsid w:val="00F472DE"/>
    <w:rsid w:val="00F4745D"/>
    <w:rsid w:val="00F50211"/>
    <w:rsid w:val="00F50425"/>
    <w:rsid w:val="00F51617"/>
    <w:rsid w:val="00F527F8"/>
    <w:rsid w:val="00F540DF"/>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77C77"/>
    <w:rsid w:val="00F803DD"/>
    <w:rsid w:val="00F803E7"/>
    <w:rsid w:val="00F8092B"/>
    <w:rsid w:val="00F811B8"/>
    <w:rsid w:val="00F811FB"/>
    <w:rsid w:val="00F815C4"/>
    <w:rsid w:val="00F81A8F"/>
    <w:rsid w:val="00F8256A"/>
    <w:rsid w:val="00F827B0"/>
    <w:rsid w:val="00F8294C"/>
    <w:rsid w:val="00F83ED3"/>
    <w:rsid w:val="00F86D22"/>
    <w:rsid w:val="00F86ECD"/>
    <w:rsid w:val="00F90AC3"/>
    <w:rsid w:val="00F911A0"/>
    <w:rsid w:val="00F91383"/>
    <w:rsid w:val="00F91786"/>
    <w:rsid w:val="00F91D6B"/>
    <w:rsid w:val="00F9283D"/>
    <w:rsid w:val="00F93B0F"/>
    <w:rsid w:val="00F94444"/>
    <w:rsid w:val="00F949B5"/>
    <w:rsid w:val="00F9542A"/>
    <w:rsid w:val="00F96D74"/>
    <w:rsid w:val="00F96E7C"/>
    <w:rsid w:val="00F97308"/>
    <w:rsid w:val="00F975BB"/>
    <w:rsid w:val="00FA0571"/>
    <w:rsid w:val="00FA0F8F"/>
    <w:rsid w:val="00FA2033"/>
    <w:rsid w:val="00FA3BD9"/>
    <w:rsid w:val="00FA4A90"/>
    <w:rsid w:val="00FA6122"/>
    <w:rsid w:val="00FB0328"/>
    <w:rsid w:val="00FB0B67"/>
    <w:rsid w:val="00FB1587"/>
    <w:rsid w:val="00FB211F"/>
    <w:rsid w:val="00FB2AE6"/>
    <w:rsid w:val="00FB346C"/>
    <w:rsid w:val="00FB5422"/>
    <w:rsid w:val="00FB55D3"/>
    <w:rsid w:val="00FB58B7"/>
    <w:rsid w:val="00FB5E98"/>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2110"/>
    <w:rsid w:val="00FC2547"/>
    <w:rsid w:val="00FC49D5"/>
    <w:rsid w:val="00FC4B0D"/>
    <w:rsid w:val="00FC5D20"/>
    <w:rsid w:val="00FC67D8"/>
    <w:rsid w:val="00FC6980"/>
    <w:rsid w:val="00FC7961"/>
    <w:rsid w:val="00FD07EE"/>
    <w:rsid w:val="00FD0959"/>
    <w:rsid w:val="00FD15DF"/>
    <w:rsid w:val="00FD1F1A"/>
    <w:rsid w:val="00FD21C8"/>
    <w:rsid w:val="00FD29DA"/>
    <w:rsid w:val="00FD3389"/>
    <w:rsid w:val="00FD33E1"/>
    <w:rsid w:val="00FD4612"/>
    <w:rsid w:val="00FD5901"/>
    <w:rsid w:val="00FD6005"/>
    <w:rsid w:val="00FD7F3D"/>
    <w:rsid w:val="00FE0679"/>
    <w:rsid w:val="00FE07F0"/>
    <w:rsid w:val="00FE0B12"/>
    <w:rsid w:val="00FE0D5E"/>
    <w:rsid w:val="00FE1C38"/>
    <w:rsid w:val="00FE20B8"/>
    <w:rsid w:val="00FE26CD"/>
    <w:rsid w:val="00FE29C3"/>
    <w:rsid w:val="00FE4273"/>
    <w:rsid w:val="00FE5C0A"/>
    <w:rsid w:val="00FE6268"/>
    <w:rsid w:val="00FE6D5E"/>
    <w:rsid w:val="00FE6F9A"/>
    <w:rsid w:val="00FE75BB"/>
    <w:rsid w:val="00FF031F"/>
    <w:rsid w:val="00FF1568"/>
    <w:rsid w:val="00FF23DF"/>
    <w:rsid w:val="00FF2499"/>
    <w:rsid w:val="00FF3FA1"/>
    <w:rsid w:val="00FF4613"/>
    <w:rsid w:val="00FF4785"/>
    <w:rsid w:val="00FF5025"/>
    <w:rsid w:val="00FF534D"/>
    <w:rsid w:val="00FF54CD"/>
    <w:rsid w:val="00FF5A14"/>
    <w:rsid w:val="00FF6072"/>
    <w:rsid w:val="00FF6773"/>
    <w:rsid w:val="00FF67E5"/>
    <w:rsid w:val="00FF6E33"/>
    <w:rsid w:val="00FF6FB6"/>
    <w:rsid w:val="00FF739B"/>
    <w:rsid w:val="3FC6819D"/>
    <w:rsid w:val="4B47A4BF"/>
    <w:rsid w:val="5D4C3F4A"/>
    <w:rsid w:val="763F0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03FDE"/>
  <w15:chartTrackingRefBased/>
  <w15:docId w15:val="{3AE99DCE-5D6C-489A-A317-68FF863C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A9"/>
    <w:rPr>
      <w:rFonts w:ascii="Times New Roman" w:eastAsia="Times New Roman" w:hAnsi="Times New Roman"/>
      <w:sz w:val="24"/>
      <w:szCs w:val="24"/>
    </w:rPr>
  </w:style>
  <w:style w:type="paragraph" w:styleId="Heading1">
    <w:name w:val="heading 1"/>
    <w:basedOn w:val="Heading2"/>
    <w:next w:val="Normal"/>
    <w:link w:val="Heading1Char"/>
    <w:uiPriority w:val="9"/>
    <w:qFormat/>
    <w:rsid w:val="004F2C13"/>
    <w:pPr>
      <w:spacing w:before="360" w:after="360"/>
      <w:outlineLvl w:val="0"/>
    </w:pPr>
    <w:rPr>
      <w:sz w:val="44"/>
      <w:szCs w:val="44"/>
    </w:rPr>
  </w:style>
  <w:style w:type="paragraph" w:styleId="Heading2">
    <w:name w:val="heading 2"/>
    <w:basedOn w:val="Heading3"/>
    <w:next w:val="Normal"/>
    <w:link w:val="Heading2Char"/>
    <w:uiPriority w:val="9"/>
    <w:unhideWhenUsed/>
    <w:qFormat/>
    <w:rsid w:val="004F2C13"/>
    <w:pPr>
      <w:jc w:val="center"/>
      <w:outlineLvl w:val="1"/>
    </w:pPr>
    <w:rPr>
      <w:sz w:val="32"/>
      <w:szCs w:val="32"/>
    </w:rPr>
  </w:style>
  <w:style w:type="paragraph" w:styleId="Heading3">
    <w:name w:val="heading 3"/>
    <w:basedOn w:val="Normal"/>
    <w:next w:val="Normal"/>
    <w:link w:val="Heading3Char"/>
    <w:uiPriority w:val="9"/>
    <w:unhideWhenUsed/>
    <w:qFormat/>
    <w:rsid w:val="00DE337E"/>
    <w:pPr>
      <w:spacing w:before="60"/>
      <w:outlineLvl w:val="2"/>
    </w:pPr>
    <w:rPr>
      <w:rFonts w:asciiTheme="minorHAnsi" w:hAnsiTheme="minorHAnsi" w:cstheme="minorHAnsi"/>
      <w:b/>
      <w:bCs/>
      <w:i/>
      <w:iCs/>
    </w:rPr>
  </w:style>
  <w:style w:type="paragraph" w:styleId="Heading4">
    <w:name w:val="heading 4"/>
    <w:basedOn w:val="Default"/>
    <w:next w:val="Normal"/>
    <w:link w:val="Heading4Char"/>
    <w:autoRedefine/>
    <w:uiPriority w:val="9"/>
    <w:unhideWhenUsed/>
    <w:qFormat/>
    <w:rsid w:val="00EA051A"/>
    <w:pPr>
      <w:contextualSpacing/>
      <w:outlineLvl w:val="3"/>
    </w:pPr>
    <w:rPr>
      <w:rFonts w:asciiTheme="minorHAnsi" w:eastAsia="Calibri" w:hAnsiTheme="minorHAnsi" w:cstheme="minorHAns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4F2C13"/>
    <w:rPr>
      <w:rFonts w:eastAsia="Times New Roman"/>
      <w:b/>
      <w:sz w:val="32"/>
      <w:szCs w:val="32"/>
      <w:lang w:val="en"/>
    </w:rPr>
  </w:style>
  <w:style w:type="character" w:customStyle="1" w:styleId="Heading3Char">
    <w:name w:val="Heading 3 Char"/>
    <w:link w:val="Heading3"/>
    <w:uiPriority w:val="9"/>
    <w:rsid w:val="00DE337E"/>
    <w:rPr>
      <w:rFonts w:asciiTheme="minorHAnsi" w:eastAsia="Times New Roman" w:hAnsiTheme="minorHAnsi" w:cstheme="minorHAnsi"/>
      <w:b/>
      <w:bCs/>
      <w:i/>
      <w:iCs/>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9063A3"/>
    <w:pPr>
      <w:spacing w:before="360"/>
      <w:jc w:val="center"/>
    </w:pPr>
    <w:rPr>
      <w:rFonts w:ascii="Calibri" w:hAnsi="Calibri"/>
      <w:b/>
      <w:sz w:val="44"/>
      <w:szCs w:val="44"/>
    </w:rPr>
  </w:style>
  <w:style w:type="character" w:customStyle="1" w:styleId="TitleChar">
    <w:name w:val="Title Char"/>
    <w:link w:val="Title"/>
    <w:rsid w:val="009063A3"/>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161328"/>
    <w:rPr>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4F2C13"/>
    <w:rPr>
      <w:rFonts w:eastAsia="Times New Roman"/>
      <w:b/>
      <w:sz w:val="44"/>
      <w:szCs w:val="44"/>
      <w:lang w:val="en"/>
    </w:rPr>
  </w:style>
  <w:style w:type="paragraph" w:styleId="TOC1">
    <w:name w:val="toc 1"/>
    <w:basedOn w:val="Normal"/>
    <w:next w:val="Normal"/>
    <w:autoRedefine/>
    <w:uiPriority w:val="39"/>
    <w:unhideWhenUsed/>
    <w:rsid w:val="0021200E"/>
    <w:pPr>
      <w:spacing w:before="120"/>
    </w:pPr>
    <w:rPr>
      <w:rFonts w:asciiTheme="minorHAnsi" w:hAnsiTheme="minorHAnsi"/>
      <w:b/>
      <w:bCs/>
      <w:i/>
      <w:iCs/>
    </w:rPr>
  </w:style>
  <w:style w:type="paragraph" w:styleId="TOCHeading">
    <w:name w:val="TOC Heading"/>
    <w:basedOn w:val="Heading1"/>
    <w:next w:val="Normal"/>
    <w:uiPriority w:val="39"/>
    <w:unhideWhenUsed/>
    <w:qFormat/>
    <w:rsid w:val="0021200E"/>
    <w:pPr>
      <w:keepLines/>
      <w:spacing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533C74"/>
    <w:pPr>
      <w:tabs>
        <w:tab w:val="right" w:leader="dot" w:pos="9260"/>
      </w:tabs>
      <w:spacing w:before="120"/>
      <w:ind w:left="240"/>
    </w:pPr>
    <w:rPr>
      <w:rFonts w:asciiTheme="minorHAnsi" w:hAnsiTheme="minorHAnsi"/>
      <w:noProof/>
      <w:sz w:val="22"/>
      <w:szCs w:val="22"/>
    </w:rPr>
  </w:style>
  <w:style w:type="paragraph" w:styleId="TOC3">
    <w:name w:val="toc 3"/>
    <w:basedOn w:val="Normal"/>
    <w:next w:val="Normal"/>
    <w:autoRedefine/>
    <w:uiPriority w:val="39"/>
    <w:unhideWhenUsed/>
    <w:rsid w:val="0021200E"/>
    <w:pPr>
      <w:ind w:left="480"/>
    </w:pPr>
    <w:rPr>
      <w:rFonts w:asciiTheme="minorHAnsi" w:hAnsiTheme="minorHAnsi"/>
      <w:sz w:val="20"/>
      <w:szCs w:val="20"/>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rFonts w:asciiTheme="minorHAnsi" w:hAnsiTheme="minorHAnsi"/>
      <w:sz w:val="20"/>
      <w:szCs w:val="20"/>
    </w:rPr>
  </w:style>
  <w:style w:type="character" w:customStyle="1" w:styleId="Heading4Char">
    <w:name w:val="Heading 4 Char"/>
    <w:basedOn w:val="DefaultParagraphFont"/>
    <w:link w:val="Heading4"/>
    <w:uiPriority w:val="9"/>
    <w:rsid w:val="00EA051A"/>
    <w:rPr>
      <w:rFonts w:asciiTheme="minorHAnsi" w:hAnsiTheme="minorHAnsi" w:cstheme="minorHAnsi"/>
      <w:b/>
      <w:i/>
      <w:color w:val="000000"/>
      <w:sz w:val="24"/>
      <w:szCs w:val="24"/>
    </w:rPr>
  </w:style>
  <w:style w:type="paragraph" w:styleId="TOC5">
    <w:name w:val="toc 5"/>
    <w:basedOn w:val="Normal"/>
    <w:next w:val="Normal"/>
    <w:autoRedefine/>
    <w:uiPriority w:val="39"/>
    <w:unhideWhenUsed/>
    <w:rsid w:val="004F2C13"/>
    <w:pPr>
      <w:ind w:left="960"/>
    </w:pPr>
    <w:rPr>
      <w:rFonts w:asciiTheme="minorHAnsi" w:hAnsiTheme="minorHAnsi"/>
      <w:sz w:val="20"/>
      <w:szCs w:val="20"/>
    </w:rPr>
  </w:style>
  <w:style w:type="paragraph" w:styleId="TOC6">
    <w:name w:val="toc 6"/>
    <w:basedOn w:val="Normal"/>
    <w:next w:val="Normal"/>
    <w:autoRedefine/>
    <w:uiPriority w:val="39"/>
    <w:unhideWhenUsed/>
    <w:rsid w:val="004F2C13"/>
    <w:pPr>
      <w:ind w:left="1200"/>
    </w:pPr>
    <w:rPr>
      <w:rFonts w:asciiTheme="minorHAnsi" w:hAnsiTheme="minorHAnsi"/>
      <w:sz w:val="20"/>
      <w:szCs w:val="20"/>
    </w:rPr>
  </w:style>
  <w:style w:type="paragraph" w:styleId="TOC7">
    <w:name w:val="toc 7"/>
    <w:basedOn w:val="Normal"/>
    <w:next w:val="Normal"/>
    <w:autoRedefine/>
    <w:uiPriority w:val="39"/>
    <w:unhideWhenUsed/>
    <w:rsid w:val="004F2C13"/>
    <w:pPr>
      <w:ind w:left="1440"/>
    </w:pPr>
    <w:rPr>
      <w:rFonts w:asciiTheme="minorHAnsi" w:hAnsiTheme="minorHAnsi"/>
      <w:sz w:val="20"/>
      <w:szCs w:val="20"/>
    </w:rPr>
  </w:style>
  <w:style w:type="paragraph" w:styleId="TOC8">
    <w:name w:val="toc 8"/>
    <w:basedOn w:val="Normal"/>
    <w:next w:val="Normal"/>
    <w:autoRedefine/>
    <w:uiPriority w:val="39"/>
    <w:unhideWhenUsed/>
    <w:rsid w:val="004F2C13"/>
    <w:pPr>
      <w:ind w:left="1680"/>
    </w:pPr>
    <w:rPr>
      <w:rFonts w:asciiTheme="minorHAnsi" w:hAnsiTheme="minorHAnsi"/>
      <w:sz w:val="20"/>
      <w:szCs w:val="20"/>
    </w:rPr>
  </w:style>
  <w:style w:type="paragraph" w:styleId="TOC9">
    <w:name w:val="toc 9"/>
    <w:basedOn w:val="Normal"/>
    <w:next w:val="Normal"/>
    <w:autoRedefine/>
    <w:uiPriority w:val="39"/>
    <w:unhideWhenUsed/>
    <w:rsid w:val="004F2C13"/>
    <w:pPr>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6A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05250947">
      <w:bodyDiv w:val="1"/>
      <w:marLeft w:val="0"/>
      <w:marRight w:val="0"/>
      <w:marTop w:val="0"/>
      <w:marBottom w:val="0"/>
      <w:divBdr>
        <w:top w:val="none" w:sz="0" w:space="0" w:color="auto"/>
        <w:left w:val="none" w:sz="0" w:space="0" w:color="auto"/>
        <w:bottom w:val="none" w:sz="0" w:space="0" w:color="auto"/>
        <w:right w:val="none" w:sz="0" w:space="0" w:color="auto"/>
      </w:divBdr>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55427221">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gcc02.safelinks.protection.outlook.com/?url=https%3A%2F%2Fwww.ctc.ca.gov%2Feducator-prep%2Felig-inst-new-edu-pgm&amp;data=05%7C02%7Cfrances.kellar%40ctc.ca.gov%7C28fc14381a93479cc8fa08dcdc2d7953%7C78276a93cafd497081b54e5074e42910%7C0%7C0%7C638627335096731679%7CUnknown%7CTWFpbGZsb3d8eyJWIjoiMC4wLjAwMDAiLCJQIjoiV2luMzIiLCJBTiI6Ik1haWwiLCJXVCI6Mn0%3D%7C0%7C%7C%7C&amp;sdata=8mMnmZE1Rbgl6LEZmMMKOIBHXo%2FaWIPHG8kbbTaqVF0%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eginfo.legislature.ca.gov/faces/billNavClient.xhtml?bill_id=202320240SB2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tc.ca.gov/educator-prep/stds-prep-progra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26239A-1389-4A11-98B3-980CE1A0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3D0E9-86BC-445D-A059-31FAF0C3B9F1}">
  <ds:schemaRefs>
    <ds:schemaRef ds:uri="http://schemas.openxmlformats.org/officeDocument/2006/bibliography"/>
  </ds:schemaRefs>
</ds:datastoreItem>
</file>

<file path=customXml/itemProps3.xml><?xml version="1.0" encoding="utf-8"?>
<ds:datastoreItem xmlns:ds="http://schemas.openxmlformats.org/officeDocument/2006/customXml" ds:itemID="{C0EF1F95-34CD-47EC-A4FE-55930191EBD6}">
  <ds:schemaRefs>
    <ds:schemaRef ds:uri="http://schemas.microsoft.com/sharepoint/v3/contenttype/forms"/>
  </ds:schemaRefs>
</ds:datastoreItem>
</file>

<file path=customXml/itemProps4.xml><?xml version="1.0" encoding="utf-8"?>
<ds:datastoreItem xmlns:ds="http://schemas.openxmlformats.org/officeDocument/2006/customXml" ds:itemID="{576EB8D7-CE80-46B9-9DE0-0C93F676B2C4}">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13</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Pupil Personnel Services School Counseling Preconditions, Program Standards, and Performance Expectations</vt:lpstr>
    </vt:vector>
  </TitlesOfParts>
  <Company>CTC</Company>
  <LinksUpToDate>false</LinksUpToDate>
  <CharactersWithSpaces>16237</CharactersWithSpaces>
  <SharedDoc>false</SharedDoc>
  <HLinks>
    <vt:vector size="12" baseType="variant">
      <vt:variant>
        <vt:i4>2490405</vt:i4>
      </vt:variant>
      <vt:variant>
        <vt:i4>3</vt:i4>
      </vt:variant>
      <vt:variant>
        <vt:i4>0</vt:i4>
      </vt:variant>
      <vt:variant>
        <vt:i4>5</vt:i4>
      </vt:variant>
      <vt:variant>
        <vt:lpwstr>https://gcc02.safelinks.protection.outlook.com/?url=https%3A%2F%2Fwww.ctc.ca.gov%2Feducator-prep%2Felig-inst-new-edu-pgm&amp;data=05%7C02%7Cfrances.kellar%40ctc.ca.gov%7C28fc14381a93479cc8fa08dcdc2d7953%7C78276a93cafd497081b54e5074e42910%7C0%7C0%7C638627335096731679%7CUnknown%7CTWFpbGZsb3d8eyJWIjoiMC4wLjAwMDAiLCJQIjoiV2luMzIiLCJBTiI6Ik1haWwiLCJXVCI6Mn0%3D%7C0%7C%7C%7C&amp;sdata=8mMnmZE1Rbgl6LEZmMMKOIBHXo%2FaWIPHG8kbbTaqVF0%3D&amp;reserved=0</vt:lpwstr>
      </vt:variant>
      <vt:variant>
        <vt:lpwstr/>
      </vt:variant>
      <vt:variant>
        <vt:i4>7012413</vt:i4>
      </vt:variant>
      <vt:variant>
        <vt:i4>0</vt:i4>
      </vt:variant>
      <vt:variant>
        <vt:i4>0</vt:i4>
      </vt:variant>
      <vt:variant>
        <vt:i4>5</vt:i4>
      </vt:variant>
      <vt:variant>
        <vt:lpwstr>https://www.ctc.ca.gov/educator-prep/stds-prep-program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CWA Added Authorization Preconditions, Program Standards, and Performance Expectations</dc:title>
  <dc:subject/>
  <dc:creator>CCTC</dc:creator>
  <cp:keywords/>
  <cp:lastModifiedBy>Bernardo, Michelle</cp:lastModifiedBy>
  <cp:revision>16</cp:revision>
  <cp:lastPrinted>2024-09-27T17:55:00Z</cp:lastPrinted>
  <dcterms:created xsi:type="dcterms:W3CDTF">2024-09-26T23:16:00Z</dcterms:created>
  <dcterms:modified xsi:type="dcterms:W3CDTF">2024-09-27T17:55:00Z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