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CA01" w14:textId="6C6F2FC2" w:rsidR="001A085D" w:rsidRPr="001A085D" w:rsidRDefault="001A085D" w:rsidP="004A47F5">
      <w:pPr>
        <w:pStyle w:val="Heading1"/>
        <w:spacing w:beforeLines="0" w:before="100" w:beforeAutospacing="1" w:after="240"/>
        <w:jc w:val="center"/>
        <w:rPr>
          <w:rFonts w:ascii="Times New Roman" w:hAnsi="Times New Roman" w:cs="Times New Roman"/>
        </w:rPr>
      </w:pPr>
      <w:r w:rsidRPr="001A085D">
        <w:rPr>
          <w:rFonts w:ascii="Times New Roman" w:hAnsi="Times New Roman" w:cs="Times New Roman"/>
        </w:rPr>
        <w:t xml:space="preserve">Template for 2042 Single Subject Matter Standards for </w:t>
      </w:r>
      <w:r w:rsidRPr="001A085D">
        <w:rPr>
          <w:rFonts w:ascii="Times New Roman" w:hAnsi="Times New Roman" w:cs="Times New Roman"/>
        </w:rPr>
        <w:br/>
      </w:r>
      <w:r w:rsidRPr="001A085D">
        <w:rPr>
          <w:rFonts w:ascii="Times New Roman" w:hAnsi="Times New Roman" w:cs="Times New Roman"/>
        </w:rPr>
        <w:t>Mathematics Program Narrative</w:t>
      </w:r>
    </w:p>
    <w:p w14:paraId="59599132" w14:textId="77777777" w:rsidR="001A085D" w:rsidRDefault="001A085D" w:rsidP="00BB2D26">
      <w:pPr>
        <w:spacing w:beforeLines="0" w:before="100" w:beforeAutospacing="1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(For guidance see </w:t>
      </w:r>
      <w:hyperlink r:id="rId7" w:history="1">
        <w:r>
          <w:rPr>
            <w:rStyle w:val="Hyperlink"/>
            <w:rFonts w:ascii="Times New Roman" w:hAnsi="Times New Roman"/>
            <w:b/>
            <w:sz w:val="28"/>
            <w:szCs w:val="28"/>
          </w:rPr>
          <w:t>http://www.ctc.ca.gov/educator-prep/STDS-subject-matter.html</w:t>
        </w:r>
      </w:hyperlink>
      <w:r>
        <w:rPr>
          <w:rFonts w:ascii="Times New Roman" w:hAnsi="Times New Roman"/>
          <w:b/>
          <w:sz w:val="28"/>
          <w:szCs w:val="28"/>
        </w:rPr>
        <w:t xml:space="preserve"> )</w:t>
      </w:r>
    </w:p>
    <w:p w14:paraId="3A5B0FF7" w14:textId="7A5CE8BD" w:rsidR="00281CD2" w:rsidRPr="001A085D" w:rsidRDefault="00281CD2" w:rsidP="001A085D">
      <w:pPr>
        <w:pStyle w:val="Heading2"/>
        <w:spacing w:before="144" w:after="120"/>
        <w:rPr>
          <w:rFonts w:ascii="Times New Roman" w:hAnsi="Times New Roman"/>
          <w:sz w:val="28"/>
          <w:szCs w:val="28"/>
        </w:rPr>
      </w:pPr>
      <w:r w:rsidRPr="001A085D">
        <w:rPr>
          <w:rFonts w:ascii="Times New Roman" w:hAnsi="Times New Roman"/>
          <w:sz w:val="28"/>
          <w:szCs w:val="28"/>
        </w:rPr>
        <w:t>Category I: Standards Common to All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8550"/>
      </w:tblGrid>
      <w:tr w:rsidR="00281CD2" w:rsidRPr="00ED2BD7" w14:paraId="3D05C92F" w14:textId="77777777" w:rsidTr="00D07128">
        <w:trPr>
          <w:cantSplit/>
          <w:tblHeader/>
        </w:trPr>
        <w:tc>
          <w:tcPr>
            <w:tcW w:w="4788" w:type="dxa"/>
          </w:tcPr>
          <w:p w14:paraId="52805A62" w14:textId="77777777" w:rsidR="00281CD2" w:rsidRPr="00ED2BD7" w:rsidRDefault="00D07128" w:rsidP="00ED2BD7">
            <w:pPr>
              <w:spacing w:before="144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8550" w:type="dxa"/>
          </w:tcPr>
          <w:p w14:paraId="211851C5" w14:textId="48191431" w:rsidR="00BB2D26" w:rsidRPr="00BB2D26" w:rsidRDefault="00352429" w:rsidP="00BB2D26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  <w:r w:rsidRPr="00ED2BD7">
              <w:rPr>
                <w:rFonts w:ascii="Times New Roman" w:hAnsi="Times New Roman"/>
                <w:b/>
                <w:sz w:val="24"/>
                <w:szCs w:val="24"/>
              </w:rPr>
              <w:t xml:space="preserve">Narrative </w:t>
            </w:r>
            <w:r w:rsidR="00441750" w:rsidRPr="00ED2BD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ED2BD7">
              <w:rPr>
                <w:rFonts w:ascii="Times New Roman" w:hAnsi="Times New Roman"/>
                <w:b/>
                <w:sz w:val="24"/>
                <w:szCs w:val="24"/>
              </w:rPr>
              <w:t>esponse</w:t>
            </w:r>
            <w:r w:rsidR="00441750" w:rsidRPr="00ED2BD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ED2BD7">
              <w:rPr>
                <w:rFonts w:ascii="Times New Roman" w:hAnsi="Times New Roman"/>
                <w:b/>
                <w:sz w:val="24"/>
                <w:szCs w:val="24"/>
              </w:rPr>
              <w:t xml:space="preserve"> including</w:t>
            </w:r>
            <w:r w:rsidR="00281CD2" w:rsidRPr="00ED2BD7">
              <w:rPr>
                <w:rFonts w:ascii="Times New Roman" w:hAnsi="Times New Roman"/>
                <w:b/>
                <w:sz w:val="24"/>
                <w:szCs w:val="24"/>
              </w:rPr>
              <w:t xml:space="preserve"> examples</w:t>
            </w:r>
            <w:r w:rsidRPr="00ED2BD7">
              <w:rPr>
                <w:rFonts w:ascii="Times New Roman" w:hAnsi="Times New Roman"/>
                <w:b/>
                <w:sz w:val="24"/>
                <w:szCs w:val="24"/>
              </w:rPr>
              <w:t xml:space="preserve"> and link to supporting documentation</w:t>
            </w:r>
          </w:p>
        </w:tc>
      </w:tr>
      <w:tr w:rsidR="00281CD2" w:rsidRPr="00ED2BD7" w14:paraId="2B49DABD" w14:textId="77777777" w:rsidTr="00D07128">
        <w:trPr>
          <w:cantSplit/>
        </w:trPr>
        <w:tc>
          <w:tcPr>
            <w:tcW w:w="4788" w:type="dxa"/>
          </w:tcPr>
          <w:p w14:paraId="2203E904" w14:textId="77777777" w:rsidR="00D07128" w:rsidRDefault="00D07128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  <w:r w:rsidRPr="00ED2BD7">
              <w:rPr>
                <w:rFonts w:ascii="Times New Roman" w:hAnsi="Times New Roman"/>
                <w:b/>
                <w:sz w:val="24"/>
                <w:szCs w:val="24"/>
              </w:rPr>
              <w:t>Standard 1: Program Design</w:t>
            </w:r>
          </w:p>
          <w:p w14:paraId="0B0F093C" w14:textId="77777777" w:rsidR="00281CD2" w:rsidRPr="00ED2BD7" w:rsidRDefault="00281CD2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  <w:r w:rsidRPr="00ED2BD7">
              <w:rPr>
                <w:rFonts w:ascii="Times New Roman" w:hAnsi="Times New Roman"/>
                <w:sz w:val="24"/>
                <w:szCs w:val="24"/>
              </w:rPr>
              <w:t xml:space="preserve">Subject matter programs are based on an explicit statement expressing the purpose, design, and expected outcomes of the program. </w:t>
            </w:r>
          </w:p>
        </w:tc>
        <w:tc>
          <w:tcPr>
            <w:tcW w:w="8550" w:type="dxa"/>
          </w:tcPr>
          <w:p w14:paraId="5AE200E9" w14:textId="37056E21" w:rsidR="00BB2D26" w:rsidRPr="00BB2D26" w:rsidRDefault="00BB2D26" w:rsidP="00BB2D26">
            <w:pPr>
              <w:spacing w:before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D2" w:rsidRPr="00ED2BD7" w14:paraId="43B57886" w14:textId="77777777" w:rsidTr="00D07128">
        <w:trPr>
          <w:cantSplit/>
        </w:trPr>
        <w:tc>
          <w:tcPr>
            <w:tcW w:w="4788" w:type="dxa"/>
          </w:tcPr>
          <w:p w14:paraId="4B59544F" w14:textId="77777777" w:rsidR="00D07128" w:rsidRDefault="00D07128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  <w:r w:rsidRPr="00ED2BD7">
              <w:rPr>
                <w:rFonts w:ascii="Times New Roman" w:hAnsi="Times New Roman"/>
                <w:b/>
                <w:sz w:val="24"/>
                <w:szCs w:val="24"/>
              </w:rPr>
              <w:t>Standard 1: Program Design</w:t>
            </w:r>
          </w:p>
          <w:p w14:paraId="3D0437C3" w14:textId="77777777" w:rsidR="00281CD2" w:rsidRPr="00ED2BD7" w:rsidRDefault="00281CD2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  <w:r w:rsidRPr="00ED2BD7">
              <w:rPr>
                <w:rFonts w:ascii="Times New Roman" w:hAnsi="Times New Roman"/>
                <w:sz w:val="24"/>
                <w:szCs w:val="24"/>
              </w:rPr>
              <w:t>The program curriculum builds on the K-12 State-adopted academic content standards, with student outcomes and assessments aligned to the subject matter requirements.</w:t>
            </w:r>
          </w:p>
        </w:tc>
        <w:tc>
          <w:tcPr>
            <w:tcW w:w="8550" w:type="dxa"/>
          </w:tcPr>
          <w:p w14:paraId="65DBFE3E" w14:textId="49704924" w:rsidR="00BB2D26" w:rsidRPr="00BB2D26" w:rsidRDefault="00BB2D26" w:rsidP="00BB2D26">
            <w:pPr>
              <w:spacing w:before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D2" w:rsidRPr="00ED2BD7" w14:paraId="7C1A905C" w14:textId="77777777" w:rsidTr="00D07128">
        <w:trPr>
          <w:cantSplit/>
        </w:trPr>
        <w:tc>
          <w:tcPr>
            <w:tcW w:w="4788" w:type="dxa"/>
          </w:tcPr>
          <w:p w14:paraId="23DD8B04" w14:textId="77777777" w:rsidR="00D07128" w:rsidRDefault="00D07128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  <w:r w:rsidRPr="00ED2BD7">
              <w:rPr>
                <w:rFonts w:ascii="Times New Roman" w:hAnsi="Times New Roman"/>
                <w:b/>
                <w:sz w:val="24"/>
                <w:szCs w:val="24"/>
              </w:rPr>
              <w:t>Standard 1: Program Design</w:t>
            </w:r>
          </w:p>
          <w:p w14:paraId="052AE63C" w14:textId="77777777" w:rsidR="00281CD2" w:rsidRPr="00ED2BD7" w:rsidRDefault="00281CD2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  <w:r w:rsidRPr="00ED2BD7">
              <w:rPr>
                <w:rFonts w:ascii="Times New Roman" w:hAnsi="Times New Roman"/>
                <w:sz w:val="24"/>
                <w:szCs w:val="24"/>
              </w:rPr>
              <w:t>The program provides prospective teachers with conceptual knowledge of the subject matter, develops academic literacy and discipline-based fluency, addresses issues of equity and diversity, and exposes prospective teachers to a variety of learning experiences appropriate for the discipline.</w:t>
            </w:r>
          </w:p>
        </w:tc>
        <w:tc>
          <w:tcPr>
            <w:tcW w:w="8550" w:type="dxa"/>
          </w:tcPr>
          <w:p w14:paraId="59CF2DBD" w14:textId="7FDD5790" w:rsidR="00BB2D26" w:rsidRPr="00BB2D26" w:rsidRDefault="00BB2D26" w:rsidP="00BB2D26">
            <w:pPr>
              <w:spacing w:before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D2" w:rsidRPr="00ED2BD7" w14:paraId="3D1232BE" w14:textId="77777777" w:rsidTr="00D07128">
        <w:trPr>
          <w:cantSplit/>
        </w:trPr>
        <w:tc>
          <w:tcPr>
            <w:tcW w:w="4788" w:type="dxa"/>
          </w:tcPr>
          <w:p w14:paraId="22211E6C" w14:textId="77777777" w:rsidR="00D07128" w:rsidRDefault="00D07128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  <w:r w:rsidRPr="00ED2B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Standard 2:</w:t>
            </w:r>
            <w:r w:rsidRPr="00ED2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BD7">
              <w:rPr>
                <w:rFonts w:ascii="Times New Roman" w:hAnsi="Times New Roman"/>
                <w:b/>
                <w:bCs/>
                <w:sz w:val="24"/>
                <w:szCs w:val="24"/>
              </w:rPr>
              <w:t>Program Resources and Support</w:t>
            </w:r>
          </w:p>
          <w:p w14:paraId="6B98D898" w14:textId="77777777" w:rsidR="00281CD2" w:rsidRPr="00ED2BD7" w:rsidRDefault="00281CD2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  <w:r w:rsidRPr="00ED2BD7">
              <w:rPr>
                <w:rFonts w:ascii="Times New Roman" w:hAnsi="Times New Roman"/>
                <w:sz w:val="24"/>
                <w:szCs w:val="24"/>
              </w:rPr>
              <w:t>The program sponsor allocates resources to support effective program coordination, which includes advising students, facilitating collaboration among stakeholders, and overseeing program review.</w:t>
            </w:r>
          </w:p>
        </w:tc>
        <w:tc>
          <w:tcPr>
            <w:tcW w:w="8550" w:type="dxa"/>
          </w:tcPr>
          <w:p w14:paraId="61BA245F" w14:textId="77777777" w:rsidR="00281CD2" w:rsidRPr="00ED2BD7" w:rsidRDefault="00281CD2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D2" w:rsidRPr="00ED2BD7" w14:paraId="4A2F7624" w14:textId="77777777" w:rsidTr="00D07128">
        <w:trPr>
          <w:cantSplit/>
        </w:trPr>
        <w:tc>
          <w:tcPr>
            <w:tcW w:w="4788" w:type="dxa"/>
          </w:tcPr>
          <w:p w14:paraId="7E3181E1" w14:textId="77777777" w:rsidR="00281CD2" w:rsidRPr="00ED2BD7" w:rsidRDefault="00281CD2" w:rsidP="00ED2BD7">
            <w:pPr>
              <w:spacing w:before="144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BD7">
              <w:rPr>
                <w:rFonts w:ascii="Times New Roman" w:hAnsi="Times New Roman"/>
                <w:sz w:val="24"/>
                <w:szCs w:val="24"/>
              </w:rPr>
              <w:t>Ongoing review processes use assessments of the prospective teachers and a variety of data such as input from stakeholders and other appropriate measurements for review and evaluation of the subject matter program.</w:t>
            </w:r>
          </w:p>
        </w:tc>
        <w:tc>
          <w:tcPr>
            <w:tcW w:w="8550" w:type="dxa"/>
          </w:tcPr>
          <w:p w14:paraId="4C50934B" w14:textId="77777777" w:rsidR="00281CD2" w:rsidRPr="00ED2BD7" w:rsidRDefault="00281CD2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76F1BC" w14:textId="77777777" w:rsidR="00281CD2" w:rsidRPr="001A085D" w:rsidRDefault="00281CD2" w:rsidP="001A085D">
      <w:pPr>
        <w:pStyle w:val="Heading2"/>
        <w:spacing w:before="144" w:after="120"/>
        <w:rPr>
          <w:rFonts w:ascii="Times New Roman" w:hAnsi="Times New Roman"/>
          <w:sz w:val="28"/>
          <w:szCs w:val="28"/>
        </w:rPr>
      </w:pPr>
      <w:r w:rsidRPr="001A085D">
        <w:rPr>
          <w:rFonts w:ascii="Times New Roman" w:hAnsi="Times New Roman"/>
          <w:sz w:val="28"/>
          <w:szCs w:val="28"/>
        </w:rPr>
        <w:t>Category II: Program Standards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8550"/>
      </w:tblGrid>
      <w:tr w:rsidR="00352429" w:rsidRPr="00ED2BD7" w14:paraId="3A8DE31B" w14:textId="77777777" w:rsidTr="00D07128">
        <w:trPr>
          <w:cantSplit/>
          <w:tblHeader/>
        </w:trPr>
        <w:tc>
          <w:tcPr>
            <w:tcW w:w="4788" w:type="dxa"/>
          </w:tcPr>
          <w:p w14:paraId="7A24AC89" w14:textId="77777777" w:rsidR="00352429" w:rsidRPr="00ED2BD7" w:rsidRDefault="00352429" w:rsidP="00ED2BD7">
            <w:pPr>
              <w:pStyle w:val="Heading2"/>
              <w:spacing w:before="144" w:after="40"/>
              <w:rPr>
                <w:rFonts w:ascii="Times New Roman" w:hAnsi="Times New Roman"/>
                <w:szCs w:val="24"/>
              </w:rPr>
            </w:pPr>
            <w:r w:rsidRPr="00ED2BD7">
              <w:rPr>
                <w:rFonts w:ascii="Times New Roman" w:hAnsi="Times New Roman"/>
                <w:szCs w:val="24"/>
              </w:rPr>
              <w:t>Standard</w:t>
            </w:r>
            <w:r w:rsidR="0036585D" w:rsidRPr="00ED2BD7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8550" w:type="dxa"/>
          </w:tcPr>
          <w:p w14:paraId="6BFBEBB1" w14:textId="77777777" w:rsidR="00352429" w:rsidRPr="00ED2BD7" w:rsidRDefault="00352429" w:rsidP="00ED2BD7">
            <w:pPr>
              <w:spacing w:before="144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BD7">
              <w:rPr>
                <w:rFonts w:ascii="Times New Roman" w:hAnsi="Times New Roman"/>
                <w:b/>
                <w:sz w:val="24"/>
                <w:szCs w:val="24"/>
              </w:rPr>
              <w:t xml:space="preserve">Narrative </w:t>
            </w:r>
            <w:r w:rsidR="00441750" w:rsidRPr="00ED2BD7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ED2BD7">
              <w:rPr>
                <w:rFonts w:ascii="Times New Roman" w:hAnsi="Times New Roman"/>
                <w:b/>
                <w:sz w:val="24"/>
                <w:szCs w:val="24"/>
              </w:rPr>
              <w:t>esponse</w:t>
            </w:r>
            <w:r w:rsidR="00441750" w:rsidRPr="00ED2BD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ED2BD7">
              <w:rPr>
                <w:rFonts w:ascii="Times New Roman" w:hAnsi="Times New Roman"/>
                <w:b/>
                <w:sz w:val="24"/>
                <w:szCs w:val="24"/>
              </w:rPr>
              <w:t xml:space="preserve"> including examples and link to supporting documentation</w:t>
            </w:r>
          </w:p>
        </w:tc>
      </w:tr>
      <w:tr w:rsidR="00385307" w:rsidRPr="00ED2BD7" w14:paraId="3D5AB827" w14:textId="77777777" w:rsidTr="00D07128">
        <w:trPr>
          <w:cantSplit/>
        </w:trPr>
        <w:tc>
          <w:tcPr>
            <w:tcW w:w="4788" w:type="dxa"/>
          </w:tcPr>
          <w:p w14:paraId="704E5BBF" w14:textId="77777777" w:rsidR="00D07128" w:rsidRPr="00D07128" w:rsidRDefault="00D07128" w:rsidP="00ED2BD7">
            <w:pPr>
              <w:spacing w:before="144" w:after="0"/>
              <w:rPr>
                <w:rFonts w:ascii="Times New Roman" w:hAnsi="Times New Roman"/>
                <w:b/>
                <w:bCs/>
                <w:sz w:val="24"/>
              </w:rPr>
            </w:pPr>
            <w:r w:rsidRPr="00D07128">
              <w:rPr>
                <w:rFonts w:ascii="Times New Roman" w:hAnsi="Times New Roman"/>
                <w:b/>
                <w:bCs/>
                <w:szCs w:val="24"/>
              </w:rPr>
              <w:t>Standard 3:</w:t>
            </w:r>
            <w:r w:rsidRPr="00D07128">
              <w:rPr>
                <w:rFonts w:ascii="Times New Roman" w:hAnsi="Times New Roman"/>
                <w:b/>
                <w:bCs/>
                <w:szCs w:val="24"/>
              </w:rPr>
              <w:tab/>
            </w:r>
            <w:r w:rsidRPr="00D07128">
              <w:rPr>
                <w:rFonts w:ascii="Times New Roman" w:hAnsi="Times New Roman"/>
                <w:b/>
                <w:bCs/>
              </w:rPr>
              <w:t>Required Subjects of Study</w:t>
            </w:r>
          </w:p>
          <w:p w14:paraId="09229F88" w14:textId="77777777" w:rsidR="00385307" w:rsidRPr="00ED2BD7" w:rsidRDefault="002A74E4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  <w:r w:rsidRPr="00ED2BD7">
              <w:rPr>
                <w:rFonts w:ascii="Times New Roman" w:hAnsi="Times New Roman"/>
                <w:sz w:val="24"/>
              </w:rPr>
              <w:t xml:space="preserve">In the program, each prospective teacher studies and learns advanced mathematics that incorporates the </w:t>
            </w:r>
            <w:r w:rsidRPr="00ED2BD7">
              <w:rPr>
                <w:rFonts w:ascii="Times New Roman" w:hAnsi="Times New Roman"/>
                <w:sz w:val="24"/>
                <w:u w:val="single"/>
              </w:rPr>
              <w:t>Mathematics Content Standards for California Public Schools: Kindergarten Through Grade Twelve</w:t>
            </w:r>
            <w:r w:rsidRPr="00ED2BD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ED2BD7">
              <w:rPr>
                <w:rFonts w:ascii="Times New Roman" w:hAnsi="Times New Roman"/>
                <w:sz w:val="24"/>
              </w:rPr>
              <w:t xml:space="preserve">(1997) and the </w:t>
            </w:r>
            <w:r w:rsidRPr="00ED2BD7">
              <w:rPr>
                <w:rFonts w:ascii="Times New Roman" w:hAnsi="Times New Roman"/>
                <w:sz w:val="24"/>
                <w:u w:val="single"/>
              </w:rPr>
              <w:t>Mathematics Framework for California Public Schools: Kindergarten Through Grade Twelve</w:t>
            </w:r>
            <w:r w:rsidRPr="00ED2BD7">
              <w:rPr>
                <w:rFonts w:ascii="Times New Roman" w:hAnsi="Times New Roman"/>
                <w:sz w:val="24"/>
              </w:rPr>
              <w:t xml:space="preserve"> (1999).</w:t>
            </w:r>
          </w:p>
        </w:tc>
        <w:tc>
          <w:tcPr>
            <w:tcW w:w="8550" w:type="dxa"/>
          </w:tcPr>
          <w:p w14:paraId="104EE2AD" w14:textId="77777777" w:rsidR="00385307" w:rsidRPr="00ED2BD7" w:rsidRDefault="00385307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53" w:rsidRPr="00ED2BD7" w14:paraId="34056BC2" w14:textId="77777777" w:rsidTr="00D07128">
        <w:trPr>
          <w:cantSplit/>
        </w:trPr>
        <w:tc>
          <w:tcPr>
            <w:tcW w:w="4788" w:type="dxa"/>
          </w:tcPr>
          <w:p w14:paraId="5C577793" w14:textId="77777777" w:rsidR="00D07128" w:rsidRPr="00D07128" w:rsidRDefault="00D07128" w:rsidP="00ED2BD7">
            <w:pPr>
              <w:spacing w:before="144"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07128">
              <w:rPr>
                <w:rFonts w:ascii="Times New Roman" w:hAnsi="Times New Roman"/>
                <w:b/>
                <w:bCs/>
                <w:szCs w:val="24"/>
              </w:rPr>
              <w:lastRenderedPageBreak/>
              <w:t>Standard 3:</w:t>
            </w:r>
            <w:r w:rsidRPr="00D07128">
              <w:rPr>
                <w:rFonts w:ascii="Times New Roman" w:hAnsi="Times New Roman"/>
                <w:b/>
                <w:bCs/>
                <w:szCs w:val="24"/>
              </w:rPr>
              <w:tab/>
            </w:r>
            <w:r w:rsidRPr="00D07128">
              <w:rPr>
                <w:rFonts w:ascii="Times New Roman" w:hAnsi="Times New Roman"/>
                <w:b/>
                <w:bCs/>
              </w:rPr>
              <w:t>Required Subjects of Study</w:t>
            </w:r>
          </w:p>
          <w:p w14:paraId="22932037" w14:textId="77777777" w:rsidR="002E4853" w:rsidRPr="00ED2BD7" w:rsidRDefault="002A74E4" w:rsidP="00ED2BD7">
            <w:pPr>
              <w:spacing w:before="144" w:after="0"/>
              <w:jc w:val="both"/>
              <w:rPr>
                <w:rFonts w:ascii="Times New Roman" w:hAnsi="Times New Roman"/>
                <w:sz w:val="24"/>
              </w:rPr>
            </w:pPr>
            <w:r w:rsidRPr="00ED2BD7">
              <w:rPr>
                <w:rFonts w:ascii="Times New Roman" w:hAnsi="Times New Roman"/>
                <w:sz w:val="24"/>
              </w:rPr>
              <w:t xml:space="preserve">The curriculum of the program addresses the </w:t>
            </w:r>
            <w:r w:rsidRPr="00ED2BD7">
              <w:rPr>
                <w:rFonts w:ascii="Times New Roman" w:hAnsi="Times New Roman"/>
                <w:i/>
                <w:sz w:val="24"/>
              </w:rPr>
              <w:t>Subject Matter Requirements</w:t>
            </w:r>
            <w:r w:rsidRPr="00ED2BD7">
              <w:rPr>
                <w:rFonts w:ascii="Times New Roman" w:hAnsi="Times New Roman"/>
                <w:sz w:val="24"/>
              </w:rPr>
              <w:t xml:space="preserve"> and standards of program quality as set forth in this document.</w:t>
            </w:r>
            <w:r w:rsidRPr="00ED2BD7">
              <w:rPr>
                <w:rStyle w:val="FootnoteReference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8550" w:type="dxa"/>
          </w:tcPr>
          <w:p w14:paraId="0147A158" w14:textId="77777777" w:rsidR="002E4853" w:rsidRPr="00ED2BD7" w:rsidRDefault="002E4853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07" w:rsidRPr="00ED2BD7" w14:paraId="41DC00C5" w14:textId="77777777" w:rsidTr="00D07128">
        <w:trPr>
          <w:cantSplit/>
        </w:trPr>
        <w:tc>
          <w:tcPr>
            <w:tcW w:w="4788" w:type="dxa"/>
          </w:tcPr>
          <w:p w14:paraId="4F03D38F" w14:textId="77777777" w:rsidR="00D07128" w:rsidRDefault="00D07128" w:rsidP="00ED2BD7">
            <w:pPr>
              <w:spacing w:before="144" w:after="0"/>
              <w:rPr>
                <w:rFonts w:ascii="Times New Roman" w:hAnsi="Times New Roman"/>
                <w:sz w:val="24"/>
              </w:rPr>
            </w:pPr>
            <w:r w:rsidRPr="00ED2BD7">
              <w:rPr>
                <w:rFonts w:ascii="Times New Roman" w:hAnsi="Times New Roman"/>
                <w:b/>
                <w:sz w:val="24"/>
                <w:szCs w:val="24"/>
              </w:rPr>
              <w:t xml:space="preserve">Standard 4: </w:t>
            </w:r>
            <w:r w:rsidRPr="00ED2BD7">
              <w:rPr>
                <w:rFonts w:ascii="Times New Roman" w:hAnsi="Times New Roman"/>
                <w:b/>
                <w:sz w:val="24"/>
              </w:rPr>
              <w:t>Problem Solving</w:t>
            </w:r>
          </w:p>
          <w:p w14:paraId="60D7F15F" w14:textId="77777777" w:rsidR="00385307" w:rsidRPr="00ED2BD7" w:rsidRDefault="002A74E4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  <w:r w:rsidRPr="00ED2BD7">
              <w:rPr>
                <w:rFonts w:ascii="Times New Roman" w:hAnsi="Times New Roman"/>
                <w:sz w:val="24"/>
              </w:rPr>
              <w:t>In the program, prospective teachers of mathematics develop effective strategies for solving problems both within the discipline of mathematics and in applied settings that include non-routine situations.</w:t>
            </w:r>
          </w:p>
        </w:tc>
        <w:tc>
          <w:tcPr>
            <w:tcW w:w="8550" w:type="dxa"/>
          </w:tcPr>
          <w:p w14:paraId="5753B88E" w14:textId="77777777" w:rsidR="00385307" w:rsidRPr="00ED2BD7" w:rsidRDefault="00385307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85D" w:rsidRPr="00ED2BD7" w14:paraId="0BF83DDA" w14:textId="77777777" w:rsidTr="00D07128">
        <w:trPr>
          <w:cantSplit/>
        </w:trPr>
        <w:tc>
          <w:tcPr>
            <w:tcW w:w="4788" w:type="dxa"/>
          </w:tcPr>
          <w:p w14:paraId="30164F99" w14:textId="77777777" w:rsidR="00D07128" w:rsidRDefault="00D07128" w:rsidP="00ED2BD7">
            <w:pPr>
              <w:spacing w:before="144" w:after="0"/>
              <w:rPr>
                <w:rFonts w:ascii="Times New Roman" w:hAnsi="Times New Roman"/>
                <w:sz w:val="24"/>
              </w:rPr>
            </w:pPr>
            <w:r w:rsidRPr="00ED2BD7">
              <w:rPr>
                <w:rFonts w:ascii="Times New Roman" w:hAnsi="Times New Roman"/>
                <w:b/>
                <w:sz w:val="24"/>
                <w:szCs w:val="24"/>
              </w:rPr>
              <w:t xml:space="preserve">Standard 4: </w:t>
            </w:r>
            <w:r w:rsidRPr="00ED2BD7">
              <w:rPr>
                <w:rFonts w:ascii="Times New Roman" w:hAnsi="Times New Roman"/>
                <w:b/>
                <w:sz w:val="24"/>
              </w:rPr>
              <w:t>Problem Solving</w:t>
            </w:r>
          </w:p>
          <w:p w14:paraId="62F865BD" w14:textId="77777777" w:rsidR="0036585D" w:rsidRPr="00ED2BD7" w:rsidRDefault="002A74E4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  <w:r w:rsidRPr="00ED2BD7">
              <w:rPr>
                <w:rFonts w:ascii="Times New Roman" w:hAnsi="Times New Roman"/>
                <w:sz w:val="24"/>
              </w:rPr>
              <w:t>Problem-solving challenges occur throughout the program of subject matter preparation in mathematics.</w:t>
            </w:r>
          </w:p>
        </w:tc>
        <w:tc>
          <w:tcPr>
            <w:tcW w:w="8550" w:type="dxa"/>
          </w:tcPr>
          <w:p w14:paraId="6E63F699" w14:textId="77777777" w:rsidR="0036585D" w:rsidRPr="00ED2BD7" w:rsidRDefault="0036585D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1E" w:rsidRPr="00ED2BD7" w14:paraId="3497E25E" w14:textId="77777777" w:rsidTr="00D07128">
        <w:trPr>
          <w:cantSplit/>
        </w:trPr>
        <w:tc>
          <w:tcPr>
            <w:tcW w:w="4788" w:type="dxa"/>
          </w:tcPr>
          <w:p w14:paraId="4D6987D2" w14:textId="77777777" w:rsidR="00D07128" w:rsidRDefault="00D07128" w:rsidP="00ED2BD7">
            <w:pPr>
              <w:spacing w:before="144" w:after="0"/>
              <w:rPr>
                <w:rFonts w:ascii="Times New Roman" w:hAnsi="Times New Roman"/>
                <w:sz w:val="24"/>
              </w:rPr>
            </w:pPr>
            <w:r w:rsidRPr="00ED2BD7">
              <w:rPr>
                <w:rFonts w:ascii="Times New Roman" w:hAnsi="Times New Roman"/>
                <w:b/>
                <w:sz w:val="24"/>
                <w:szCs w:val="24"/>
              </w:rPr>
              <w:t xml:space="preserve">Standard 4: </w:t>
            </w:r>
            <w:r w:rsidRPr="00ED2BD7">
              <w:rPr>
                <w:rFonts w:ascii="Times New Roman" w:hAnsi="Times New Roman"/>
                <w:b/>
                <w:sz w:val="24"/>
              </w:rPr>
              <w:t>Problem Solving</w:t>
            </w:r>
          </w:p>
          <w:p w14:paraId="648C62E5" w14:textId="77777777" w:rsidR="00557B1E" w:rsidRPr="00ED2BD7" w:rsidRDefault="002A74E4" w:rsidP="00ED2BD7">
            <w:pPr>
              <w:spacing w:before="144" w:after="0"/>
              <w:rPr>
                <w:rFonts w:ascii="Times New Roman" w:hAnsi="Times New Roman"/>
                <w:sz w:val="24"/>
              </w:rPr>
            </w:pPr>
            <w:r w:rsidRPr="00ED2BD7">
              <w:rPr>
                <w:rFonts w:ascii="Times New Roman" w:hAnsi="Times New Roman"/>
                <w:sz w:val="24"/>
              </w:rPr>
              <w:t>Through coursework in the program, prospective teachers develop a sense of inquiry and perseverance in solving problems.</w:t>
            </w:r>
          </w:p>
        </w:tc>
        <w:tc>
          <w:tcPr>
            <w:tcW w:w="8550" w:type="dxa"/>
          </w:tcPr>
          <w:p w14:paraId="78BAE2B3" w14:textId="77777777" w:rsidR="00557B1E" w:rsidRPr="00ED2BD7" w:rsidRDefault="00557B1E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07" w:rsidRPr="00ED2BD7" w14:paraId="432E5CD8" w14:textId="77777777" w:rsidTr="00D07128">
        <w:trPr>
          <w:cantSplit/>
        </w:trPr>
        <w:tc>
          <w:tcPr>
            <w:tcW w:w="4788" w:type="dxa"/>
          </w:tcPr>
          <w:p w14:paraId="41D3F502" w14:textId="77777777" w:rsidR="00D07128" w:rsidRDefault="00D07128" w:rsidP="00ED2BD7">
            <w:pPr>
              <w:spacing w:before="144" w:after="0"/>
              <w:rPr>
                <w:rFonts w:ascii="Times New Roman" w:hAnsi="Times New Roman"/>
                <w:b/>
                <w:sz w:val="24"/>
              </w:rPr>
            </w:pPr>
            <w:r w:rsidRPr="00ED2BD7">
              <w:rPr>
                <w:rFonts w:ascii="Times New Roman" w:hAnsi="Times New Roman"/>
                <w:b/>
                <w:sz w:val="24"/>
                <w:szCs w:val="24"/>
              </w:rPr>
              <w:t xml:space="preserve">Standard 5: </w:t>
            </w:r>
            <w:r w:rsidRPr="00ED2BD7">
              <w:rPr>
                <w:rFonts w:ascii="Times New Roman" w:hAnsi="Times New Roman"/>
                <w:b/>
                <w:sz w:val="24"/>
              </w:rPr>
              <w:t>Mathematics as Communication</w:t>
            </w:r>
          </w:p>
          <w:p w14:paraId="7B6B24CA" w14:textId="77777777" w:rsidR="00385307" w:rsidRPr="00ED2BD7" w:rsidRDefault="002A74E4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  <w:r w:rsidRPr="00ED2BD7">
              <w:rPr>
                <w:rFonts w:ascii="Times New Roman" w:hAnsi="Times New Roman"/>
                <w:sz w:val="24"/>
              </w:rPr>
              <w:t xml:space="preserve">In the program, prospective teachers learn to communicate their thinking clearly and coherently to others using appropriate language, </w:t>
            </w:r>
            <w:proofErr w:type="gramStart"/>
            <w:r w:rsidRPr="00ED2BD7">
              <w:rPr>
                <w:rFonts w:ascii="Times New Roman" w:hAnsi="Times New Roman"/>
                <w:sz w:val="24"/>
              </w:rPr>
              <w:t>symbols</w:t>
            </w:r>
            <w:proofErr w:type="gramEnd"/>
            <w:r w:rsidRPr="00ED2BD7">
              <w:rPr>
                <w:rFonts w:ascii="Times New Roman" w:hAnsi="Times New Roman"/>
                <w:sz w:val="24"/>
              </w:rPr>
              <w:t xml:space="preserve"> and technologies.</w:t>
            </w:r>
          </w:p>
        </w:tc>
        <w:tc>
          <w:tcPr>
            <w:tcW w:w="8550" w:type="dxa"/>
          </w:tcPr>
          <w:p w14:paraId="586F5C22" w14:textId="77777777" w:rsidR="00385307" w:rsidRPr="00ED2BD7" w:rsidRDefault="00385307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E01" w:rsidRPr="00ED2BD7" w14:paraId="2065C710" w14:textId="77777777" w:rsidTr="00D07128">
        <w:trPr>
          <w:cantSplit/>
        </w:trPr>
        <w:tc>
          <w:tcPr>
            <w:tcW w:w="4788" w:type="dxa"/>
          </w:tcPr>
          <w:p w14:paraId="64AC91CC" w14:textId="77777777" w:rsidR="00D07128" w:rsidRDefault="00D07128" w:rsidP="00ED2BD7">
            <w:pPr>
              <w:spacing w:before="144" w:after="0"/>
              <w:rPr>
                <w:rFonts w:ascii="Times New Roman" w:hAnsi="Times New Roman"/>
                <w:sz w:val="24"/>
              </w:rPr>
            </w:pPr>
            <w:r w:rsidRPr="00ED2B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Standard 5: </w:t>
            </w:r>
            <w:r w:rsidRPr="00ED2BD7">
              <w:rPr>
                <w:rFonts w:ascii="Times New Roman" w:hAnsi="Times New Roman"/>
                <w:b/>
                <w:sz w:val="24"/>
              </w:rPr>
              <w:t>Mathematics as Communication</w:t>
            </w:r>
          </w:p>
          <w:p w14:paraId="4B623C50" w14:textId="77777777" w:rsidR="006E1E01" w:rsidRPr="00ED2BD7" w:rsidRDefault="002A74E4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  <w:r w:rsidRPr="00ED2BD7">
              <w:rPr>
                <w:rFonts w:ascii="Times New Roman" w:hAnsi="Times New Roman"/>
                <w:sz w:val="24"/>
              </w:rPr>
              <w:t>Prospective teachers develop communication skills in conjunction with mathematical literacy in each major component of a subject matter program.</w:t>
            </w:r>
          </w:p>
        </w:tc>
        <w:tc>
          <w:tcPr>
            <w:tcW w:w="8550" w:type="dxa"/>
          </w:tcPr>
          <w:p w14:paraId="12B0B6E9" w14:textId="77777777" w:rsidR="006E1E01" w:rsidRPr="00ED2BD7" w:rsidRDefault="006E1E01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07" w:rsidRPr="00ED2BD7" w14:paraId="453110C0" w14:textId="77777777" w:rsidTr="00D07128">
        <w:trPr>
          <w:cantSplit/>
        </w:trPr>
        <w:tc>
          <w:tcPr>
            <w:tcW w:w="4788" w:type="dxa"/>
          </w:tcPr>
          <w:p w14:paraId="7B92700C" w14:textId="77777777" w:rsidR="00D07128" w:rsidRDefault="00D07128" w:rsidP="00ED2BD7">
            <w:pPr>
              <w:spacing w:before="144" w:after="0"/>
              <w:rPr>
                <w:rFonts w:ascii="Times New Roman" w:hAnsi="Times New Roman"/>
                <w:sz w:val="24"/>
              </w:rPr>
            </w:pPr>
            <w:r w:rsidRPr="00ED2BD7">
              <w:rPr>
                <w:rFonts w:ascii="Times New Roman" w:hAnsi="Times New Roman"/>
                <w:b/>
                <w:sz w:val="24"/>
                <w:szCs w:val="24"/>
              </w:rPr>
              <w:t xml:space="preserve">Standard 6: </w:t>
            </w:r>
            <w:r w:rsidRPr="00ED2BD7">
              <w:rPr>
                <w:rFonts w:ascii="Times New Roman" w:hAnsi="Times New Roman"/>
                <w:b/>
                <w:sz w:val="24"/>
              </w:rPr>
              <w:t>Reasoning</w:t>
            </w:r>
          </w:p>
          <w:p w14:paraId="3BE18840" w14:textId="77777777" w:rsidR="00385307" w:rsidRPr="00ED2BD7" w:rsidRDefault="002A74E4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  <w:r w:rsidRPr="00ED2BD7">
              <w:rPr>
                <w:rFonts w:ascii="Times New Roman" w:hAnsi="Times New Roman"/>
                <w:sz w:val="24"/>
              </w:rPr>
              <w:t>In the program, prospective teachers of mathematics learn to understand that reasoning is fundamental to knowing and doing mathematics.</w:t>
            </w:r>
          </w:p>
        </w:tc>
        <w:tc>
          <w:tcPr>
            <w:tcW w:w="8550" w:type="dxa"/>
          </w:tcPr>
          <w:p w14:paraId="5634DDE2" w14:textId="77777777" w:rsidR="00385307" w:rsidRPr="00ED2BD7" w:rsidRDefault="00385307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07" w:rsidRPr="00ED2BD7" w14:paraId="79E88D4E" w14:textId="77777777" w:rsidTr="00D07128">
        <w:trPr>
          <w:cantSplit/>
        </w:trPr>
        <w:tc>
          <w:tcPr>
            <w:tcW w:w="4788" w:type="dxa"/>
          </w:tcPr>
          <w:p w14:paraId="065C73F0" w14:textId="77777777" w:rsidR="00D07128" w:rsidRPr="00D07128" w:rsidRDefault="00D07128" w:rsidP="00ED2BD7">
            <w:pPr>
              <w:pStyle w:val="Title"/>
              <w:spacing w:before="144"/>
              <w:jc w:val="both"/>
              <w:rPr>
                <w:bCs/>
              </w:rPr>
            </w:pPr>
            <w:r w:rsidRPr="00D07128">
              <w:rPr>
                <w:bCs/>
                <w:szCs w:val="24"/>
              </w:rPr>
              <w:t xml:space="preserve">Standard 6: </w:t>
            </w:r>
            <w:r w:rsidRPr="00D07128">
              <w:rPr>
                <w:bCs/>
              </w:rPr>
              <w:t>Reasoning</w:t>
            </w:r>
          </w:p>
          <w:p w14:paraId="23D87E07" w14:textId="77777777" w:rsidR="00385307" w:rsidRPr="00ED2BD7" w:rsidRDefault="002A74E4" w:rsidP="00ED2BD7">
            <w:pPr>
              <w:pStyle w:val="Title"/>
              <w:spacing w:before="144"/>
              <w:jc w:val="both"/>
              <w:rPr>
                <w:b w:val="0"/>
                <w:szCs w:val="24"/>
              </w:rPr>
            </w:pPr>
            <w:r w:rsidRPr="00ED2BD7">
              <w:rPr>
                <w:b w:val="0"/>
              </w:rPr>
              <w:t>Reasoning and proof accompany all mathematical activities in the program.</w:t>
            </w:r>
          </w:p>
        </w:tc>
        <w:tc>
          <w:tcPr>
            <w:tcW w:w="8550" w:type="dxa"/>
          </w:tcPr>
          <w:p w14:paraId="4367A317" w14:textId="77777777" w:rsidR="00385307" w:rsidRPr="00ED2BD7" w:rsidRDefault="00385307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07" w:rsidRPr="00ED2BD7" w14:paraId="50488539" w14:textId="77777777" w:rsidTr="00D07128">
        <w:trPr>
          <w:cantSplit/>
          <w:trHeight w:val="1052"/>
        </w:trPr>
        <w:tc>
          <w:tcPr>
            <w:tcW w:w="4788" w:type="dxa"/>
          </w:tcPr>
          <w:p w14:paraId="6981F560" w14:textId="77777777" w:rsidR="00D07128" w:rsidRDefault="00D07128" w:rsidP="00ED2BD7">
            <w:pPr>
              <w:spacing w:before="144" w:after="0"/>
              <w:rPr>
                <w:rFonts w:ascii="Times New Roman" w:hAnsi="Times New Roman"/>
                <w:sz w:val="24"/>
              </w:rPr>
            </w:pPr>
            <w:r w:rsidRPr="00ED2BD7">
              <w:rPr>
                <w:rFonts w:ascii="Times New Roman" w:hAnsi="Times New Roman"/>
                <w:b/>
                <w:sz w:val="24"/>
                <w:szCs w:val="24"/>
              </w:rPr>
              <w:t xml:space="preserve">Standard 7: </w:t>
            </w:r>
            <w:r w:rsidRPr="00ED2BD7">
              <w:rPr>
                <w:rFonts w:ascii="Times New Roman" w:hAnsi="Times New Roman"/>
                <w:b/>
                <w:sz w:val="24"/>
              </w:rPr>
              <w:t>Mathematical Connections</w:t>
            </w:r>
          </w:p>
          <w:p w14:paraId="39AF5072" w14:textId="77777777" w:rsidR="00385307" w:rsidRPr="00ED2BD7" w:rsidRDefault="002A74E4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  <w:r w:rsidRPr="00ED2BD7">
              <w:rPr>
                <w:rFonts w:ascii="Times New Roman" w:hAnsi="Times New Roman"/>
                <w:sz w:val="24"/>
              </w:rPr>
              <w:t>In the program, prospective teachers of mathematics develop a view of mathematics as an integrated whole, seeing connections across different mathematical content areas.</w:t>
            </w:r>
          </w:p>
        </w:tc>
        <w:tc>
          <w:tcPr>
            <w:tcW w:w="8550" w:type="dxa"/>
          </w:tcPr>
          <w:p w14:paraId="15AE06D3" w14:textId="77777777" w:rsidR="00385307" w:rsidRPr="00ED2BD7" w:rsidRDefault="00385307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C5" w:rsidRPr="00ED2BD7" w14:paraId="466B65BB" w14:textId="77777777" w:rsidTr="00D07128">
        <w:trPr>
          <w:cantSplit/>
          <w:trHeight w:val="1052"/>
        </w:trPr>
        <w:tc>
          <w:tcPr>
            <w:tcW w:w="4788" w:type="dxa"/>
          </w:tcPr>
          <w:p w14:paraId="092BBADF" w14:textId="77777777" w:rsidR="00D07128" w:rsidRDefault="00D07128" w:rsidP="00ED2BD7">
            <w:pPr>
              <w:spacing w:before="144" w:after="0"/>
              <w:rPr>
                <w:rFonts w:ascii="Times New Roman" w:hAnsi="Times New Roman"/>
                <w:sz w:val="24"/>
              </w:rPr>
            </w:pPr>
            <w:r w:rsidRPr="00ED2BD7">
              <w:rPr>
                <w:rFonts w:ascii="Times New Roman" w:hAnsi="Times New Roman"/>
                <w:b/>
                <w:sz w:val="24"/>
                <w:szCs w:val="24"/>
              </w:rPr>
              <w:t xml:space="preserve">Standard 7: </w:t>
            </w:r>
            <w:r w:rsidRPr="00ED2BD7">
              <w:rPr>
                <w:rFonts w:ascii="Times New Roman" w:hAnsi="Times New Roman"/>
                <w:b/>
                <w:sz w:val="24"/>
              </w:rPr>
              <w:t>Mathematical Connections</w:t>
            </w:r>
          </w:p>
          <w:p w14:paraId="6DACA459" w14:textId="77777777" w:rsidR="00D95AC5" w:rsidRPr="00ED2BD7" w:rsidRDefault="002A74E4" w:rsidP="00ED2BD7">
            <w:pPr>
              <w:spacing w:before="144" w:after="0"/>
              <w:rPr>
                <w:rFonts w:ascii="Times New Roman" w:hAnsi="Times New Roman"/>
                <w:sz w:val="24"/>
              </w:rPr>
            </w:pPr>
            <w:r w:rsidRPr="00ED2BD7">
              <w:rPr>
                <w:rFonts w:ascii="Times New Roman" w:hAnsi="Times New Roman"/>
                <w:sz w:val="24"/>
              </w:rPr>
              <w:t>Relationships among mathematical subjects and applications are a consistent theme of the subject matter program’s curriculum</w:t>
            </w:r>
            <w:r w:rsidRPr="00ED2BD7">
              <w:rPr>
                <w:rStyle w:val="FootnoteReference"/>
                <w:rFonts w:ascii="Times New Roman" w:hAnsi="Times New Roman"/>
                <w:sz w:val="24"/>
              </w:rPr>
              <w:footnoteReference w:id="2"/>
            </w:r>
            <w:r w:rsidRPr="00ED2BD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50" w:type="dxa"/>
          </w:tcPr>
          <w:p w14:paraId="1329D209" w14:textId="77777777" w:rsidR="00D95AC5" w:rsidRPr="00ED2BD7" w:rsidRDefault="00D95AC5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307" w:rsidRPr="00ED2BD7" w14:paraId="1AE53B6F" w14:textId="77777777" w:rsidTr="00D07128">
        <w:trPr>
          <w:cantSplit/>
        </w:trPr>
        <w:tc>
          <w:tcPr>
            <w:tcW w:w="4788" w:type="dxa"/>
          </w:tcPr>
          <w:p w14:paraId="212A9532" w14:textId="77777777" w:rsidR="00D07128" w:rsidRDefault="00D07128" w:rsidP="00ED2BD7">
            <w:pPr>
              <w:spacing w:before="144" w:after="0"/>
              <w:rPr>
                <w:rFonts w:ascii="Times New Roman" w:hAnsi="Times New Roman"/>
                <w:sz w:val="24"/>
              </w:rPr>
            </w:pPr>
            <w:r w:rsidRPr="00ED2B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Standard 8: </w:t>
            </w:r>
            <w:r w:rsidRPr="00ED2BD7">
              <w:rPr>
                <w:rFonts w:ascii="Times New Roman" w:hAnsi="Times New Roman"/>
                <w:b/>
                <w:sz w:val="24"/>
              </w:rPr>
              <w:t>Delivery of Instruction</w:t>
            </w:r>
          </w:p>
          <w:p w14:paraId="79AA65F8" w14:textId="77777777" w:rsidR="00385307" w:rsidRPr="00ED2BD7" w:rsidRDefault="00E72B81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2BD7">
              <w:rPr>
                <w:rFonts w:ascii="Times New Roman" w:hAnsi="Times New Roman"/>
                <w:sz w:val="24"/>
              </w:rPr>
              <w:t>In the program, faculty use multiple instructional strategies, activities and materials that are appropriate for effective mathematics instruction.</w:t>
            </w:r>
          </w:p>
        </w:tc>
        <w:tc>
          <w:tcPr>
            <w:tcW w:w="8550" w:type="dxa"/>
          </w:tcPr>
          <w:p w14:paraId="1916CDE3" w14:textId="77777777" w:rsidR="00385307" w:rsidRPr="00ED2BD7" w:rsidRDefault="00385307" w:rsidP="00ED2BD7">
            <w:pPr>
              <w:spacing w:before="144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4254B1" w14:textId="5819AE25" w:rsidR="00281CD2" w:rsidRPr="001A085D" w:rsidRDefault="002A74E4" w:rsidP="001A085D">
      <w:pPr>
        <w:pStyle w:val="BodyTextIndent3"/>
        <w:spacing w:before="144"/>
        <w:rPr>
          <w:b/>
          <w:sz w:val="24"/>
          <w:szCs w:val="24"/>
        </w:rPr>
      </w:pPr>
      <w:r w:rsidRPr="002A74E4">
        <w:rPr>
          <w:b/>
          <w:sz w:val="24"/>
          <w:szCs w:val="24"/>
        </w:rPr>
        <w:t>*Calculus and history of mathematics are not required subjects of study for the foundational-level credential.</w:t>
      </w:r>
    </w:p>
    <w:sectPr w:rsidR="00281CD2" w:rsidRPr="001A085D" w:rsidSect="00385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08FB0" w14:textId="77777777" w:rsidR="003F4BA9" w:rsidRDefault="003F4BA9" w:rsidP="00385307">
      <w:pPr>
        <w:spacing w:before="144" w:after="0"/>
      </w:pPr>
      <w:r>
        <w:separator/>
      </w:r>
    </w:p>
  </w:endnote>
  <w:endnote w:type="continuationSeparator" w:id="0">
    <w:p w14:paraId="3845CD8B" w14:textId="77777777" w:rsidR="003F4BA9" w:rsidRDefault="003F4BA9" w:rsidP="00385307">
      <w:pPr>
        <w:spacing w:before="144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F19D" w14:textId="77777777" w:rsidR="002A74E4" w:rsidRDefault="002A74E4" w:rsidP="00385307">
    <w:pPr>
      <w:pStyle w:val="Footer"/>
      <w:spacing w:before="14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04475" w14:textId="35BF6173" w:rsidR="002A74E4" w:rsidRPr="00BB2D26" w:rsidRDefault="002A74E4" w:rsidP="00BB2D2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2960"/>
      </w:tabs>
      <w:spacing w:before="144"/>
      <w:rPr>
        <w:rFonts w:ascii="Cambria" w:hAnsi="Cambria"/>
      </w:rPr>
    </w:pPr>
    <w:r>
      <w:rPr>
        <w:rFonts w:ascii="Cambria" w:hAnsi="Cambria"/>
      </w:rPr>
      <w:t>California Commission on Teacher Credentialing</w:t>
    </w:r>
    <w:r w:rsidR="00ED2BD7">
      <w:rPr>
        <w:rFonts w:ascii="Cambria" w:hAnsi="Cambria"/>
      </w:rPr>
      <w:tab/>
    </w:r>
    <w:r>
      <w:rPr>
        <w:rFonts w:ascii="Cambria" w:hAnsi="Cambria"/>
      </w:rPr>
      <w:t xml:space="preserve">Page </w:t>
    </w:r>
    <w:r w:rsidR="00B24FF6">
      <w:fldChar w:fldCharType="begin"/>
    </w:r>
    <w:r w:rsidR="00B24FF6">
      <w:instrText xml:space="preserve"> PAGE   \* MERGEFORMAT </w:instrText>
    </w:r>
    <w:r w:rsidR="00B24FF6">
      <w:fldChar w:fldCharType="separate"/>
    </w:r>
    <w:r w:rsidR="00ED2BD7" w:rsidRPr="00ED2BD7">
      <w:rPr>
        <w:rFonts w:ascii="Cambria" w:hAnsi="Cambria"/>
        <w:noProof/>
      </w:rPr>
      <w:t>1</w:t>
    </w:r>
    <w:r w:rsidR="00B24FF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8C72" w14:textId="77777777" w:rsidR="002A74E4" w:rsidRDefault="002A74E4" w:rsidP="00385307">
    <w:pPr>
      <w:pStyle w:val="Footer"/>
      <w:spacing w:before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8021D" w14:textId="77777777" w:rsidR="003F4BA9" w:rsidRDefault="003F4BA9" w:rsidP="00385307">
      <w:pPr>
        <w:spacing w:before="144" w:after="0"/>
      </w:pPr>
      <w:r>
        <w:separator/>
      </w:r>
    </w:p>
  </w:footnote>
  <w:footnote w:type="continuationSeparator" w:id="0">
    <w:p w14:paraId="4C86B567" w14:textId="77777777" w:rsidR="003F4BA9" w:rsidRDefault="003F4BA9" w:rsidP="00385307">
      <w:pPr>
        <w:spacing w:before="144" w:after="0"/>
      </w:pPr>
      <w:r>
        <w:continuationSeparator/>
      </w:r>
    </w:p>
  </w:footnote>
  <w:footnote w:id="1">
    <w:p w14:paraId="4D5A24A5" w14:textId="77777777" w:rsidR="002A74E4" w:rsidRDefault="002A74E4" w:rsidP="002A74E4">
      <w:pPr>
        <w:pStyle w:val="FootnoteText"/>
      </w:pPr>
      <w:r>
        <w:rPr>
          <w:rStyle w:val="FootnoteReference"/>
        </w:rPr>
        <w:footnoteRef/>
      </w:r>
      <w:r>
        <w:t xml:space="preserve">  The Subject Matter Requirements are complemented by the </w:t>
      </w:r>
      <w:r>
        <w:rPr>
          <w:b/>
        </w:rPr>
        <w:t>Attachment to Standard 11</w:t>
      </w:r>
      <w:r>
        <w:t>, starting on page 32</w:t>
      </w:r>
    </w:p>
  </w:footnote>
  <w:footnote w:id="2">
    <w:p w14:paraId="163CB7BE" w14:textId="77777777" w:rsidR="002A74E4" w:rsidRDefault="002A74E4" w:rsidP="002A74E4">
      <w:pPr>
        <w:pStyle w:val="FootnoteText"/>
      </w:pPr>
      <w:r>
        <w:rPr>
          <w:rStyle w:val="FootnoteReference"/>
        </w:rPr>
        <w:footnoteRef/>
      </w:r>
      <w:r>
        <w:t xml:space="preserve">  The Subject Matter Requirements are complemented by the </w:t>
      </w:r>
      <w:r>
        <w:rPr>
          <w:b/>
        </w:rPr>
        <w:t>Attachment to Standard 11</w:t>
      </w:r>
      <w:r>
        <w:t>, starting on page 32.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8E12" w14:textId="77777777" w:rsidR="002A74E4" w:rsidRDefault="002A74E4" w:rsidP="00385307">
    <w:pPr>
      <w:pStyle w:val="Header"/>
      <w:spacing w:before="1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D54F5" w14:textId="77777777" w:rsidR="000C414A" w:rsidRPr="00BB2D26" w:rsidRDefault="000C414A" w:rsidP="00BB2D26">
    <w:pPr>
      <w:spacing w:beforeLines="0" w:after="0"/>
      <w:rPr>
        <w:rFonts w:ascii="Cambria" w:hAnsi="Cambri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AD1F3" w14:textId="77777777" w:rsidR="002A74E4" w:rsidRDefault="002A74E4" w:rsidP="00385307">
    <w:pPr>
      <w:pStyle w:val="Header"/>
      <w:spacing w:before="1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D2"/>
    <w:rsid w:val="00065DE5"/>
    <w:rsid w:val="000C414A"/>
    <w:rsid w:val="001A085D"/>
    <w:rsid w:val="00227591"/>
    <w:rsid w:val="00236F2C"/>
    <w:rsid w:val="00281CD2"/>
    <w:rsid w:val="002A74E4"/>
    <w:rsid w:val="002E296E"/>
    <w:rsid w:val="002E4853"/>
    <w:rsid w:val="00340896"/>
    <w:rsid w:val="00352429"/>
    <w:rsid w:val="0036585D"/>
    <w:rsid w:val="00385307"/>
    <w:rsid w:val="003A59CE"/>
    <w:rsid w:val="003F0957"/>
    <w:rsid w:val="003F4BA9"/>
    <w:rsid w:val="004137C8"/>
    <w:rsid w:val="00441750"/>
    <w:rsid w:val="004A47F5"/>
    <w:rsid w:val="004B76CD"/>
    <w:rsid w:val="005316DC"/>
    <w:rsid w:val="0053326F"/>
    <w:rsid w:val="00557B1E"/>
    <w:rsid w:val="005B5797"/>
    <w:rsid w:val="005F4EAD"/>
    <w:rsid w:val="00671B90"/>
    <w:rsid w:val="00677AF6"/>
    <w:rsid w:val="006C557F"/>
    <w:rsid w:val="006E1E01"/>
    <w:rsid w:val="00700211"/>
    <w:rsid w:val="00726090"/>
    <w:rsid w:val="00790495"/>
    <w:rsid w:val="007910A1"/>
    <w:rsid w:val="007C034B"/>
    <w:rsid w:val="007C1314"/>
    <w:rsid w:val="00842E9B"/>
    <w:rsid w:val="00845ED3"/>
    <w:rsid w:val="00853160"/>
    <w:rsid w:val="00887C7B"/>
    <w:rsid w:val="00897422"/>
    <w:rsid w:val="00974921"/>
    <w:rsid w:val="00981FEB"/>
    <w:rsid w:val="00AA78B0"/>
    <w:rsid w:val="00B173E9"/>
    <w:rsid w:val="00B24FF6"/>
    <w:rsid w:val="00B32B3A"/>
    <w:rsid w:val="00B50411"/>
    <w:rsid w:val="00BB2D26"/>
    <w:rsid w:val="00BB3456"/>
    <w:rsid w:val="00BF4FDB"/>
    <w:rsid w:val="00CB59D5"/>
    <w:rsid w:val="00D00F18"/>
    <w:rsid w:val="00D07128"/>
    <w:rsid w:val="00D95AC5"/>
    <w:rsid w:val="00DD264B"/>
    <w:rsid w:val="00E032E7"/>
    <w:rsid w:val="00E04A71"/>
    <w:rsid w:val="00E72B81"/>
    <w:rsid w:val="00E756A9"/>
    <w:rsid w:val="00EC33C7"/>
    <w:rsid w:val="00ED2BD7"/>
    <w:rsid w:val="00EE2EAB"/>
    <w:rsid w:val="00F126E4"/>
    <w:rsid w:val="00F12C52"/>
    <w:rsid w:val="00F94FF4"/>
    <w:rsid w:val="00F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C77DB3"/>
  <w15:chartTrackingRefBased/>
  <w15:docId w15:val="{47686E90-D010-4A06-A63C-21318E69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3E9"/>
    <w:pPr>
      <w:spacing w:beforeLines="60" w:after="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8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1CD2"/>
    <w:pPr>
      <w:spacing w:before="120" w:after="0"/>
      <w:outlineLvl w:val="1"/>
    </w:pPr>
    <w:rPr>
      <w:rFonts w:ascii="Helvetica" w:eastAsia="Times New Roman" w:hAnsi="Helvetic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C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281CD2"/>
    <w:rPr>
      <w:rFonts w:ascii="Helvetica" w:eastAsia="Times New Roman" w:hAnsi="Helvetic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137C8"/>
    <w:pPr>
      <w:spacing w:after="0"/>
      <w:jc w:val="center"/>
    </w:pPr>
    <w:rPr>
      <w:rFonts w:ascii="Times New Roman" w:eastAsia="Times" w:hAnsi="Times New Roman"/>
      <w:b/>
      <w:sz w:val="24"/>
      <w:szCs w:val="20"/>
    </w:rPr>
  </w:style>
  <w:style w:type="character" w:customStyle="1" w:styleId="TitleChar">
    <w:name w:val="Title Char"/>
    <w:link w:val="Title"/>
    <w:rsid w:val="004137C8"/>
    <w:rPr>
      <w:rFonts w:ascii="Times New Roman" w:eastAsia="Times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71B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1B90"/>
  </w:style>
  <w:style w:type="paragraph" w:styleId="Footer">
    <w:name w:val="footer"/>
    <w:basedOn w:val="Normal"/>
    <w:link w:val="FooterChar"/>
    <w:uiPriority w:val="99"/>
    <w:unhideWhenUsed/>
    <w:rsid w:val="00671B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1B90"/>
  </w:style>
  <w:style w:type="paragraph" w:styleId="BalloonText">
    <w:name w:val="Balloon Text"/>
    <w:basedOn w:val="Normal"/>
    <w:link w:val="BalloonTextChar"/>
    <w:uiPriority w:val="99"/>
    <w:semiHidden/>
    <w:unhideWhenUsed/>
    <w:rsid w:val="00671B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1B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316DC"/>
    <w:pPr>
      <w:tabs>
        <w:tab w:val="left" w:pos="2160"/>
      </w:tabs>
      <w:spacing w:beforeLines="0" w:after="0"/>
      <w:jc w:val="both"/>
    </w:pPr>
    <w:rPr>
      <w:rFonts w:ascii="Times New Roman" w:eastAsia="Times" w:hAnsi="Times New Roman"/>
      <w:sz w:val="24"/>
      <w:szCs w:val="20"/>
    </w:rPr>
  </w:style>
  <w:style w:type="character" w:customStyle="1" w:styleId="BodyText2Char">
    <w:name w:val="Body Text 2 Char"/>
    <w:link w:val="BodyText2"/>
    <w:rsid w:val="005316DC"/>
    <w:rPr>
      <w:rFonts w:ascii="Times New Roman" w:eastAsia="Times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2A74E4"/>
    <w:pPr>
      <w:spacing w:beforeLines="0" w:after="0"/>
    </w:pPr>
    <w:rPr>
      <w:rFonts w:ascii="New York" w:eastAsia="Times New Roman" w:hAnsi="New York"/>
      <w:sz w:val="20"/>
      <w:szCs w:val="20"/>
    </w:rPr>
  </w:style>
  <w:style w:type="character" w:customStyle="1" w:styleId="FootnoteTextChar">
    <w:name w:val="Footnote Text Char"/>
    <w:link w:val="FootnoteText"/>
    <w:semiHidden/>
    <w:rsid w:val="002A74E4"/>
    <w:rPr>
      <w:rFonts w:ascii="New York" w:eastAsia="Times New Roman" w:hAnsi="New York" w:cs="Times New Roman"/>
      <w:sz w:val="20"/>
      <w:szCs w:val="20"/>
    </w:rPr>
  </w:style>
  <w:style w:type="character" w:styleId="FootnoteReference">
    <w:name w:val="footnote reference"/>
    <w:semiHidden/>
    <w:rsid w:val="002A74E4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A74E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2A74E4"/>
    <w:rPr>
      <w:sz w:val="16"/>
      <w:szCs w:val="16"/>
    </w:rPr>
  </w:style>
  <w:style w:type="character" w:styleId="Hyperlink">
    <w:name w:val="Hyperlink"/>
    <w:uiPriority w:val="99"/>
    <w:semiHidden/>
    <w:unhideWhenUsed/>
    <w:rsid w:val="000C41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08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tc.ca.gov/educator-prep/STDS-subject-matter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A234-EA3A-40D5-B903-E025349D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3972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http://www.ctc.ca.gov/educator-prep/STDS-subject-matter.html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2042 Single Subject Matter Standards for Mathematics Program Narrative</dc:title>
  <dc:subject/>
  <dc:creator>hhawley</dc:creator>
  <cp:keywords/>
  <dc:description/>
  <cp:lastModifiedBy>Sayas, Purity Rose</cp:lastModifiedBy>
  <cp:revision>2</cp:revision>
  <dcterms:created xsi:type="dcterms:W3CDTF">2020-12-28T18:07:00Z</dcterms:created>
  <dcterms:modified xsi:type="dcterms:W3CDTF">2020-12-28T18:07:00Z</dcterms:modified>
</cp:coreProperties>
</file>