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1282" w14:textId="599417FE" w:rsidR="00B037C0" w:rsidRPr="00C56045" w:rsidRDefault="00B037C0" w:rsidP="00C56045">
      <w:pPr>
        <w:pStyle w:val="Heading1"/>
      </w:pPr>
      <w:bookmarkStart w:id="0" w:name="_Toc135655543"/>
      <w:r w:rsidRPr="00C56045">
        <w:t>Standards of Quality and Effective</w:t>
      </w:r>
      <w:smartTag w:uri="urn:schemas-microsoft-com:office:smarttags" w:element="PersonName">
        <w:r w:rsidRPr="00C56045">
          <w:t>ne</w:t>
        </w:r>
      </w:smartTag>
      <w:r w:rsidRPr="00C56045">
        <w:t>ss</w:t>
      </w:r>
      <w:r w:rsidR="00C56045" w:rsidRPr="00C56045">
        <w:br/>
      </w:r>
      <w:r w:rsidRPr="00C56045">
        <w:t>for Programs Leading to</w:t>
      </w:r>
      <w:r w:rsidR="00C56045" w:rsidRPr="00C56045">
        <w:br/>
      </w:r>
      <w:r w:rsidRPr="00C56045">
        <w:t>Bilingual Authorization</w:t>
      </w:r>
      <w:bookmarkEnd w:id="0"/>
    </w:p>
    <w:p w14:paraId="335A46EE" w14:textId="77777777" w:rsidR="00702E68" w:rsidRDefault="00702E68" w:rsidP="00B037C0">
      <w:pPr>
        <w:pStyle w:val="Title"/>
        <w:ind w:left="180"/>
        <w:rPr>
          <w:b w:val="0"/>
          <w:sz w:val="48"/>
          <w:szCs w:val="48"/>
        </w:rPr>
      </w:pPr>
    </w:p>
    <w:p w14:paraId="444F15D6" w14:textId="71EF4021" w:rsidR="00B037C0" w:rsidRDefault="00702E68" w:rsidP="00B037C0">
      <w:pPr>
        <w:pStyle w:val="Title"/>
        <w:ind w:left="180"/>
        <w:rPr>
          <w:b w:val="0"/>
          <w:sz w:val="48"/>
          <w:szCs w:val="48"/>
        </w:rPr>
      </w:pPr>
      <w:r w:rsidRPr="00702E68">
        <w:rPr>
          <w:b w:val="0"/>
          <w:sz w:val="48"/>
          <w:szCs w:val="48"/>
        </w:rPr>
        <w:t>A Handbook for Teacher Educators a</w:t>
      </w:r>
      <w:r w:rsidR="00C95E7E" w:rsidRPr="00C95E7E">
        <w:rPr>
          <w:b w:val="0"/>
          <w:sz w:val="48"/>
          <w:szCs w:val="48"/>
        </w:rPr>
        <w:t>nd Program Reviewers</w:t>
      </w:r>
      <w:r w:rsidRPr="00702E68">
        <w:rPr>
          <w:b w:val="0"/>
          <w:sz w:val="48"/>
          <w:szCs w:val="48"/>
        </w:rPr>
        <w:t xml:space="preserve"> </w:t>
      </w:r>
    </w:p>
    <w:p w14:paraId="6B23F83B" w14:textId="7713CD92" w:rsidR="00702E68" w:rsidRDefault="00493C54" w:rsidP="00702E68">
      <w:pPr>
        <w:pStyle w:val="Title"/>
        <w:ind w:left="180"/>
        <w:rPr>
          <w:b w:val="0"/>
          <w:sz w:val="48"/>
          <w:szCs w:val="48"/>
        </w:rPr>
      </w:pPr>
      <w:r>
        <w:rPr>
          <w:b w:val="0"/>
          <w:noProof/>
          <w:sz w:val="48"/>
          <w:szCs w:val="48"/>
        </w:rPr>
        <w:drawing>
          <wp:anchor distT="0" distB="0" distL="114300" distR="114300" simplePos="0" relativeHeight="251662336" behindDoc="0" locked="0" layoutInCell="1" allowOverlap="0" wp14:anchorId="690B9759" wp14:editId="0E03165F">
            <wp:simplePos x="0" y="0"/>
            <wp:positionH relativeFrom="column">
              <wp:posOffset>1447800</wp:posOffset>
            </wp:positionH>
            <wp:positionV relativeFrom="paragraph">
              <wp:posOffset>205740</wp:posOffset>
            </wp:positionV>
            <wp:extent cx="3086100" cy="2578735"/>
            <wp:effectExtent l="0" t="0" r="0" b="0"/>
            <wp:wrapNone/>
            <wp:docPr id="401875486" name="Picture 4018754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0" cy="2578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4EFB0" w14:textId="6914CDC3" w:rsidR="00702E68" w:rsidRDefault="00702E68" w:rsidP="00702E68">
      <w:pPr>
        <w:pStyle w:val="Title"/>
        <w:ind w:left="180"/>
        <w:rPr>
          <w:b w:val="0"/>
          <w:sz w:val="48"/>
          <w:szCs w:val="48"/>
        </w:rPr>
      </w:pPr>
    </w:p>
    <w:p w14:paraId="6D68BCAE" w14:textId="1FFBE486" w:rsidR="00702E68" w:rsidRDefault="00702E68" w:rsidP="00702E68">
      <w:pPr>
        <w:pStyle w:val="Title"/>
        <w:ind w:left="180"/>
        <w:rPr>
          <w:b w:val="0"/>
          <w:sz w:val="48"/>
          <w:szCs w:val="48"/>
        </w:rPr>
      </w:pPr>
    </w:p>
    <w:p w14:paraId="41F4A505" w14:textId="1341451D" w:rsidR="00702E68" w:rsidRDefault="00702E68" w:rsidP="00702E68">
      <w:pPr>
        <w:pStyle w:val="Title"/>
        <w:ind w:left="180"/>
        <w:rPr>
          <w:b w:val="0"/>
          <w:sz w:val="48"/>
          <w:szCs w:val="48"/>
        </w:rPr>
      </w:pPr>
    </w:p>
    <w:p w14:paraId="72B962F9" w14:textId="0C70FDEF" w:rsidR="00702E68" w:rsidRDefault="00702E68" w:rsidP="00702E68">
      <w:pPr>
        <w:pStyle w:val="Title"/>
        <w:ind w:left="180"/>
        <w:rPr>
          <w:b w:val="0"/>
          <w:sz w:val="48"/>
          <w:szCs w:val="48"/>
        </w:rPr>
      </w:pPr>
    </w:p>
    <w:p w14:paraId="00132B27" w14:textId="78464FA5" w:rsidR="00702E68" w:rsidRDefault="00702E68" w:rsidP="00702E68">
      <w:pPr>
        <w:pStyle w:val="Title"/>
        <w:ind w:left="180"/>
        <w:rPr>
          <w:b w:val="0"/>
          <w:sz w:val="48"/>
          <w:szCs w:val="48"/>
        </w:rPr>
      </w:pPr>
    </w:p>
    <w:p w14:paraId="7C137054" w14:textId="15377A11" w:rsidR="00702E68" w:rsidRDefault="00702E68" w:rsidP="00702E68">
      <w:pPr>
        <w:pStyle w:val="Title"/>
        <w:ind w:left="180"/>
        <w:rPr>
          <w:b w:val="0"/>
          <w:sz w:val="48"/>
          <w:szCs w:val="48"/>
        </w:rPr>
      </w:pPr>
    </w:p>
    <w:p w14:paraId="12606CFA" w14:textId="1AB04355" w:rsidR="00702E68" w:rsidRDefault="00702E68" w:rsidP="00702E68">
      <w:pPr>
        <w:pStyle w:val="Title"/>
        <w:ind w:left="180"/>
        <w:rPr>
          <w:b w:val="0"/>
          <w:sz w:val="48"/>
          <w:szCs w:val="48"/>
        </w:rPr>
      </w:pPr>
    </w:p>
    <w:p w14:paraId="2079DDB9" w14:textId="77777777" w:rsidR="00702E68" w:rsidRDefault="00702E68" w:rsidP="00702E68">
      <w:pPr>
        <w:pStyle w:val="Title"/>
        <w:ind w:left="180"/>
        <w:rPr>
          <w:b w:val="0"/>
          <w:sz w:val="48"/>
          <w:szCs w:val="48"/>
        </w:rPr>
      </w:pPr>
    </w:p>
    <w:p w14:paraId="1A3C9F2F" w14:textId="18416985" w:rsidR="00702E68" w:rsidRPr="00702E68" w:rsidRDefault="00702E68" w:rsidP="00702E68">
      <w:pPr>
        <w:pStyle w:val="Title"/>
        <w:ind w:left="180"/>
        <w:rPr>
          <w:b w:val="0"/>
          <w:sz w:val="32"/>
          <w:szCs w:val="32"/>
        </w:rPr>
      </w:pPr>
      <w:r w:rsidRPr="00702E68">
        <w:rPr>
          <w:b w:val="0"/>
          <w:sz w:val="32"/>
          <w:szCs w:val="32"/>
        </w:rPr>
        <w:t>June 2009</w:t>
      </w:r>
    </w:p>
    <w:p w14:paraId="2E7D7E0A" w14:textId="775BF867" w:rsidR="00702E68" w:rsidRPr="00702E68" w:rsidRDefault="00702E68" w:rsidP="00702E68">
      <w:pPr>
        <w:pStyle w:val="Title"/>
        <w:ind w:left="180"/>
        <w:rPr>
          <w:b w:val="0"/>
          <w:sz w:val="32"/>
          <w:szCs w:val="32"/>
        </w:rPr>
      </w:pPr>
      <w:r w:rsidRPr="00702E68">
        <w:rPr>
          <w:b w:val="0"/>
          <w:sz w:val="32"/>
          <w:szCs w:val="32"/>
        </w:rPr>
        <w:t>Updated January 2013</w:t>
      </w:r>
    </w:p>
    <w:p w14:paraId="380B02C9" w14:textId="77777777" w:rsidR="00702E68" w:rsidRDefault="00702E68" w:rsidP="00B037C0">
      <w:pPr>
        <w:pStyle w:val="Title"/>
        <w:ind w:left="180"/>
        <w:rPr>
          <w:b w:val="0"/>
          <w:sz w:val="48"/>
          <w:szCs w:val="48"/>
        </w:rPr>
      </w:pPr>
    </w:p>
    <w:p w14:paraId="7E08CDAE" w14:textId="6AC1CA6B" w:rsidR="00702E68" w:rsidRDefault="00702E68" w:rsidP="00B037C0">
      <w:pPr>
        <w:pStyle w:val="Title"/>
        <w:ind w:left="180"/>
        <w:rPr>
          <w:b w:val="0"/>
          <w:noProof/>
          <w:sz w:val="48"/>
          <w:szCs w:val="48"/>
        </w:rPr>
      </w:pPr>
    </w:p>
    <w:p w14:paraId="7A36EDE6" w14:textId="3BC44BFD" w:rsidR="00702E68" w:rsidRDefault="00702E68" w:rsidP="00B037C0">
      <w:pPr>
        <w:pStyle w:val="Title"/>
        <w:ind w:left="180"/>
        <w:rPr>
          <w:b w:val="0"/>
          <w:sz w:val="48"/>
          <w:szCs w:val="48"/>
        </w:rPr>
      </w:pPr>
    </w:p>
    <w:p w14:paraId="5DAC62E4" w14:textId="77777777" w:rsidR="00702E68" w:rsidRDefault="00702E68" w:rsidP="00B037C0">
      <w:pPr>
        <w:pStyle w:val="Title"/>
        <w:ind w:left="180"/>
        <w:rPr>
          <w:b w:val="0"/>
          <w:sz w:val="48"/>
          <w:szCs w:val="48"/>
        </w:rPr>
      </w:pPr>
    </w:p>
    <w:p w14:paraId="57956347" w14:textId="11D0E767" w:rsidR="00B037C0" w:rsidRDefault="00B037C0" w:rsidP="00B037C0">
      <w:pPr>
        <w:pStyle w:val="Title"/>
        <w:ind w:left="180"/>
        <w:rPr>
          <w:b w:val="0"/>
          <w:sz w:val="48"/>
          <w:szCs w:val="48"/>
        </w:rPr>
      </w:pPr>
    </w:p>
    <w:p w14:paraId="24B5053F" w14:textId="77777777" w:rsidR="00702E68" w:rsidRPr="00702E68" w:rsidRDefault="00702E68" w:rsidP="00702E68">
      <w:pPr>
        <w:pStyle w:val="Title"/>
        <w:ind w:left="180"/>
        <w:rPr>
          <w:b w:val="0"/>
          <w:sz w:val="48"/>
          <w:szCs w:val="48"/>
        </w:rPr>
      </w:pPr>
    </w:p>
    <w:p w14:paraId="4F96FC41" w14:textId="3507054E" w:rsidR="00702E68" w:rsidRPr="00702E68" w:rsidRDefault="00702E68" w:rsidP="00702E68">
      <w:pPr>
        <w:pStyle w:val="Title"/>
        <w:ind w:left="180"/>
        <w:rPr>
          <w:b w:val="0"/>
          <w:sz w:val="48"/>
          <w:szCs w:val="48"/>
        </w:rPr>
      </w:pPr>
    </w:p>
    <w:p w14:paraId="765C2B3A" w14:textId="77777777" w:rsidR="00596C6F" w:rsidRDefault="00596C6F" w:rsidP="00A72CD6"/>
    <w:p w14:paraId="48F34CE7" w14:textId="77777777" w:rsidR="00596C6F" w:rsidRDefault="00596C6F" w:rsidP="00A72CD6"/>
    <w:p w14:paraId="1F016480" w14:textId="77777777" w:rsidR="00857167" w:rsidRDefault="00857167" w:rsidP="00857167">
      <w:r w:rsidRPr="00EB645D">
        <w:t xml:space="preserve">This handbook, like other publications of the </w:t>
      </w:r>
      <w:r>
        <w:t>Commission</w:t>
      </w:r>
      <w:r w:rsidRPr="00EB645D">
        <w:t xml:space="preserve"> on Teacher Credentialing, is not </w:t>
      </w:r>
      <w:proofErr w:type="gramStart"/>
      <w:r w:rsidRPr="00DD7129">
        <w:t>copyright</w:t>
      </w:r>
      <w:proofErr w:type="gramEnd"/>
      <w:r w:rsidRPr="00DD7129">
        <w:t>. It</w:t>
      </w:r>
      <w:r w:rsidRPr="00EB645D">
        <w:t xml:space="preserve"> may be reproduced in the public interest, but proper attribution is requested.</w:t>
      </w:r>
    </w:p>
    <w:p w14:paraId="137937A1" w14:textId="77777777" w:rsidR="00505FF7" w:rsidRDefault="00505FF7" w:rsidP="00857167"/>
    <w:p w14:paraId="2C57C6A6" w14:textId="77777777" w:rsidR="00505FF7" w:rsidRPr="00505FF7" w:rsidRDefault="00505FF7" w:rsidP="00857167">
      <w:pPr>
        <w:rPr>
          <w:i/>
        </w:rPr>
      </w:pPr>
      <w:r w:rsidRPr="00505FF7">
        <w:rPr>
          <w:i/>
        </w:rPr>
        <w:t>Note: Electronic links are provided throughout to other source documents</w:t>
      </w:r>
      <w:r w:rsidR="00A5063D">
        <w:rPr>
          <w:i/>
        </w:rPr>
        <w:t xml:space="preserve"> that will </w:t>
      </w:r>
      <w:r w:rsidR="00E65D0E">
        <w:rPr>
          <w:i/>
        </w:rPr>
        <w:t xml:space="preserve">be </w:t>
      </w:r>
      <w:r w:rsidR="00E65D0E" w:rsidRPr="00505FF7">
        <w:rPr>
          <w:i/>
        </w:rPr>
        <w:t>necessary</w:t>
      </w:r>
      <w:r w:rsidRPr="00505FF7">
        <w:rPr>
          <w:i/>
        </w:rPr>
        <w:t xml:space="preserve"> to complete </w:t>
      </w:r>
      <w:r w:rsidR="00A5063D">
        <w:rPr>
          <w:i/>
        </w:rPr>
        <w:t>a Program Package to be submitted for</w:t>
      </w:r>
      <w:r w:rsidRPr="00505FF7">
        <w:rPr>
          <w:i/>
        </w:rPr>
        <w:t xml:space="preserve"> Initial Program Review.</w:t>
      </w:r>
    </w:p>
    <w:p w14:paraId="3E6C99C2" w14:textId="77777777" w:rsidR="00857167" w:rsidRDefault="00857167" w:rsidP="00A72CD6"/>
    <w:p w14:paraId="67537DF1" w14:textId="77777777" w:rsidR="00857167" w:rsidRDefault="00857167" w:rsidP="00A72CD6"/>
    <w:p w14:paraId="091377EC" w14:textId="77777777" w:rsidR="00A72CD6" w:rsidRPr="00EB645D" w:rsidRDefault="00A72CD6" w:rsidP="00A72CD6">
      <w:r>
        <w:t>Commission</w:t>
      </w:r>
      <w:r w:rsidRPr="00EB645D">
        <w:t xml:space="preserve"> on Teacher Credentialing</w:t>
      </w:r>
    </w:p>
    <w:p w14:paraId="4AEC4564" w14:textId="77777777" w:rsidR="00A72CD6" w:rsidRPr="00EB645D" w:rsidRDefault="00A72CD6" w:rsidP="00A72CD6">
      <w:smartTag w:uri="urn:schemas-microsoft-com:office:smarttags" w:element="address">
        <w:smartTag w:uri="urn:schemas-microsoft-com:office:smarttags" w:element="Street">
          <w:r w:rsidRPr="00EB645D">
            <w:t>1900 Capitol Avenue</w:t>
          </w:r>
        </w:smartTag>
      </w:smartTag>
    </w:p>
    <w:p w14:paraId="652EF10E" w14:textId="77777777" w:rsidR="00A72CD6" w:rsidRPr="00EB645D" w:rsidRDefault="00A72CD6" w:rsidP="00A72CD6">
      <w:smartTag w:uri="urn:schemas-microsoft-com:office:smarttags" w:element="place">
        <w:smartTag w:uri="urn:schemas-microsoft-com:office:smarttags" w:element="City">
          <w:r w:rsidRPr="00EB645D">
            <w:t>Sacramento</w:t>
          </w:r>
        </w:smartTag>
        <w:r w:rsidRPr="00EB645D">
          <w:t xml:space="preserve">, </w:t>
        </w:r>
        <w:smartTag w:uri="urn:schemas-microsoft-com:office:smarttags" w:element="State">
          <w:r w:rsidRPr="00EB645D">
            <w:t>California</w:t>
          </w:r>
        </w:smartTag>
        <w:r>
          <w:t xml:space="preserve"> </w:t>
        </w:r>
        <w:smartTag w:uri="urn:schemas-microsoft-com:office:smarttags" w:element="PostalCode">
          <w:r>
            <w:t>95811</w:t>
          </w:r>
        </w:smartTag>
      </w:smartTag>
    </w:p>
    <w:p w14:paraId="54E29D39" w14:textId="77777777" w:rsidR="00A72CD6" w:rsidRPr="00EB645D" w:rsidRDefault="00A72CD6" w:rsidP="00A72CD6"/>
    <w:p w14:paraId="14B66635" w14:textId="77777777" w:rsidR="00A72CD6" w:rsidRPr="00EB645D" w:rsidRDefault="00A72CD6" w:rsidP="00A72CD6"/>
    <w:p w14:paraId="347BB235" w14:textId="77777777" w:rsidR="00A72CD6" w:rsidRPr="00EB645D" w:rsidRDefault="00A72CD6" w:rsidP="00A72CD6">
      <w:r w:rsidRPr="00EB645D">
        <w:t>This handbook is available at:</w:t>
      </w:r>
    </w:p>
    <w:p w14:paraId="08706284" w14:textId="77777777" w:rsidR="003507BB" w:rsidRDefault="00A72CD6" w:rsidP="003507BB">
      <w:pPr>
        <w:sectPr w:rsidR="003507BB" w:rsidSect="003507BB">
          <w:headerReference w:type="default" r:id="rId13"/>
          <w:footerReference w:type="even" r:id="rId14"/>
          <w:footerReference w:type="first" r:id="rId15"/>
          <w:footnotePr>
            <w:numStart w:val="0"/>
          </w:footnotePr>
          <w:type w:val="continuous"/>
          <w:pgSz w:w="12240" w:h="15840" w:code="1"/>
          <w:pgMar w:top="1440" w:right="1440" w:bottom="1440" w:left="1440" w:header="720" w:footer="720" w:gutter="0"/>
          <w:pgNumType w:start="1"/>
          <w:cols w:space="0"/>
        </w:sectPr>
      </w:pPr>
      <w:hyperlink r:id="rId16" w:history="1">
        <w:r w:rsidRPr="00EB645D">
          <w:rPr>
            <w:rStyle w:val="Hyperlink"/>
          </w:rPr>
          <w:t>http://www.ctc.ca.gov/</w:t>
        </w:r>
      </w:hyperlink>
    </w:p>
    <w:p w14:paraId="5A800B76" w14:textId="77777777" w:rsidR="003507BB" w:rsidRDefault="003507BB" w:rsidP="003507BB"/>
    <w:p w14:paraId="7D449FD4" w14:textId="77777777" w:rsidR="00A72CD6" w:rsidRPr="00E55A38" w:rsidRDefault="00A72CD6" w:rsidP="00E55A38">
      <w:pPr>
        <w:pStyle w:val="Style4"/>
      </w:pPr>
      <w:r w:rsidRPr="00E55A38">
        <w:t>Commission on Teacher Credentialing</w:t>
      </w:r>
    </w:p>
    <w:p w14:paraId="4CB492C8" w14:textId="77777777" w:rsidR="00A72CD6" w:rsidRPr="00B22A8D" w:rsidRDefault="00C01FF3" w:rsidP="00C01FF3">
      <w:pPr>
        <w:pStyle w:val="Title"/>
        <w:tabs>
          <w:tab w:val="left" w:pos="720"/>
          <w:tab w:val="left" w:pos="8640"/>
        </w:tabs>
        <w:spacing w:line="240" w:lineRule="auto"/>
        <w:ind w:right="0"/>
        <w:rPr>
          <w:i/>
          <w:sz w:val="20"/>
        </w:rPr>
      </w:pPr>
      <w:r>
        <w:rPr>
          <w:i/>
          <w:sz w:val="20"/>
        </w:rPr>
        <w:t>(R</w:t>
      </w:r>
      <w:r w:rsidR="00221DEF" w:rsidRPr="00B22A8D">
        <w:rPr>
          <w:i/>
          <w:sz w:val="20"/>
        </w:rPr>
        <w:t xml:space="preserve">eflects the composition of the Commission at the time of adoption of the Bilingual Authorization standards.  </w:t>
      </w:r>
      <w:hyperlink r:id="rId17" w:history="1">
        <w:r w:rsidRPr="00C01FF3">
          <w:rPr>
            <w:rStyle w:val="Hyperlink"/>
            <w:i/>
            <w:sz w:val="20"/>
          </w:rPr>
          <w:t>Click here</w:t>
        </w:r>
      </w:hyperlink>
      <w:r>
        <w:rPr>
          <w:i/>
          <w:sz w:val="20"/>
        </w:rPr>
        <w:t xml:space="preserve"> f</w:t>
      </w:r>
      <w:r w:rsidR="00221DEF" w:rsidRPr="00B22A8D">
        <w:rPr>
          <w:i/>
          <w:sz w:val="20"/>
        </w:rPr>
        <w:t>or the current membersh</w:t>
      </w:r>
      <w:r>
        <w:rPr>
          <w:i/>
          <w:sz w:val="20"/>
        </w:rPr>
        <w:t>ip of the Commission.)</w:t>
      </w:r>
      <w:r w:rsidR="00221DEF" w:rsidRPr="00B22A8D">
        <w:rPr>
          <w:i/>
          <w:sz w:val="20"/>
        </w:rPr>
        <w:t xml:space="preserve">  </w:t>
      </w:r>
    </w:p>
    <w:p w14:paraId="466FEBC8" w14:textId="77777777" w:rsidR="00857167" w:rsidRDefault="00857167" w:rsidP="00A72CD6">
      <w:pPr>
        <w:jc w:val="center"/>
        <w:rPr>
          <w:b/>
          <w:sz w:val="32"/>
          <w:szCs w:val="32"/>
        </w:rPr>
      </w:pPr>
    </w:p>
    <w:p w14:paraId="4EB52B6D" w14:textId="77777777" w:rsidR="00A72CD6" w:rsidRPr="005E21C7" w:rsidRDefault="00A72CD6" w:rsidP="00A72CD6">
      <w:pPr>
        <w:jc w:val="center"/>
        <w:rPr>
          <w:b/>
          <w:sz w:val="28"/>
          <w:szCs w:val="32"/>
        </w:rPr>
      </w:pPr>
      <w:r w:rsidRPr="005E21C7">
        <w:rPr>
          <w:b/>
          <w:sz w:val="28"/>
          <w:szCs w:val="32"/>
        </w:rPr>
        <w:t>State of California</w:t>
      </w:r>
    </w:p>
    <w:p w14:paraId="174FD149" w14:textId="77777777" w:rsidR="00A72CD6" w:rsidRPr="005E21C7" w:rsidRDefault="00A72CD6" w:rsidP="00A72CD6">
      <w:pPr>
        <w:jc w:val="center"/>
        <w:rPr>
          <w:b/>
          <w:sz w:val="28"/>
          <w:szCs w:val="32"/>
        </w:rPr>
      </w:pPr>
      <w:r w:rsidRPr="005E21C7">
        <w:rPr>
          <w:b/>
          <w:sz w:val="28"/>
          <w:szCs w:val="32"/>
        </w:rPr>
        <w:t>Arnold Schwarze</w:t>
      </w:r>
      <w:smartTag w:uri="urn:schemas-microsoft-com:office:smarttags" w:element="PersonName">
        <w:r w:rsidRPr="005E21C7">
          <w:rPr>
            <w:b/>
            <w:sz w:val="28"/>
            <w:szCs w:val="32"/>
          </w:rPr>
          <w:t>ne</w:t>
        </w:r>
      </w:smartTag>
      <w:r w:rsidRPr="005E21C7">
        <w:rPr>
          <w:b/>
          <w:sz w:val="28"/>
          <w:szCs w:val="32"/>
        </w:rPr>
        <w:t>gger, Governor</w:t>
      </w:r>
    </w:p>
    <w:p w14:paraId="6C1CAB71" w14:textId="77777777" w:rsidR="00A72CD6" w:rsidRPr="00EB645D" w:rsidRDefault="00A72CD6" w:rsidP="00A72CD6">
      <w:pPr>
        <w:ind w:right="810"/>
        <w:jc w:val="center"/>
        <w:rPr>
          <w:b/>
          <w:caps/>
          <w:sz w:val="32"/>
          <w:szCs w:val="32"/>
        </w:rPr>
      </w:pPr>
    </w:p>
    <w:p w14:paraId="22EA0AA9" w14:textId="77777777" w:rsidR="00A72CD6" w:rsidRPr="00EB645D" w:rsidRDefault="00A72CD6" w:rsidP="00A72CD6">
      <w:pPr>
        <w:ind w:right="810"/>
        <w:jc w:val="center"/>
        <w:rPr>
          <w:b/>
          <w:caps/>
          <w:sz w:val="12"/>
          <w:szCs w:val="12"/>
        </w:rPr>
      </w:pPr>
    </w:p>
    <w:p w14:paraId="07A7AB92" w14:textId="77777777" w:rsidR="00A72CD6" w:rsidRDefault="00A72CD6" w:rsidP="00CE2CAB">
      <w:pPr>
        <w:pStyle w:val="Heading2"/>
      </w:pPr>
      <w:bookmarkStart w:id="1" w:name="_Toc148861600"/>
      <w:bookmarkStart w:id="2" w:name="_Toc159754155"/>
      <w:bookmarkStart w:id="3" w:name="_Toc335914614"/>
      <w:bookmarkStart w:id="4" w:name="_Toc337553966"/>
      <w:bookmarkStart w:id="5" w:name="_Toc135655544"/>
      <w:r w:rsidRPr="00EB645D">
        <w:t>Members of the Commission</w:t>
      </w:r>
      <w:bookmarkEnd w:id="1"/>
      <w:bookmarkEnd w:id="2"/>
      <w:bookmarkEnd w:id="3"/>
      <w:bookmarkEnd w:id="4"/>
      <w:bookmarkEnd w:id="5"/>
    </w:p>
    <w:p w14:paraId="466DC007" w14:textId="4A282436" w:rsidR="00A72CD6" w:rsidRPr="00EB645D" w:rsidRDefault="00A72CD6" w:rsidP="00F17541">
      <w:bookmarkStart w:id="6" w:name="_Toc148861601"/>
      <w:bookmarkStart w:id="7" w:name="_Toc159754156"/>
      <w:bookmarkStart w:id="8" w:name="_Toc335914615"/>
      <w:bookmarkStart w:id="9" w:name="_Toc335914793"/>
      <w:bookmarkStart w:id="10" w:name="_Toc335915001"/>
      <w:bookmarkStart w:id="11" w:name="_Toc335915092"/>
      <w:bookmarkStart w:id="12" w:name="_Toc335915242"/>
      <w:r>
        <w:t>Caleb Chung, Chair</w:t>
      </w:r>
      <w:r>
        <w:tab/>
      </w:r>
      <w:bookmarkEnd w:id="6"/>
      <w:bookmarkEnd w:id="7"/>
      <w:r w:rsidR="00F17541">
        <w:tab/>
      </w:r>
      <w:r w:rsidR="00F17541">
        <w:tab/>
      </w:r>
      <w:r w:rsidR="00F17541">
        <w:tab/>
      </w:r>
      <w:r>
        <w:t>Teacher Representative</w:t>
      </w:r>
      <w:bookmarkEnd w:id="8"/>
      <w:bookmarkEnd w:id="9"/>
      <w:bookmarkEnd w:id="10"/>
      <w:bookmarkEnd w:id="11"/>
      <w:bookmarkEnd w:id="12"/>
    </w:p>
    <w:p w14:paraId="7B6CAB06" w14:textId="77777777" w:rsidR="00A72CD6" w:rsidRPr="00EB645D" w:rsidRDefault="00A72CD6" w:rsidP="00A72CD6">
      <w:pPr>
        <w:tabs>
          <w:tab w:val="left" w:pos="4320"/>
        </w:tabs>
        <w:spacing w:before="120"/>
      </w:pPr>
      <w:r>
        <w:t>Margaret Gaston</w:t>
      </w:r>
      <w:r w:rsidRPr="00EB645D">
        <w:t>, Vice Chair</w:t>
      </w:r>
      <w:r w:rsidRPr="00EB645D">
        <w:tab/>
        <w:t>Public Representative</w:t>
      </w:r>
    </w:p>
    <w:p w14:paraId="12EA0742" w14:textId="77777777" w:rsidR="00A72CD6" w:rsidRPr="00EB645D" w:rsidRDefault="00A72CD6" w:rsidP="00A72CD6">
      <w:pPr>
        <w:tabs>
          <w:tab w:val="left" w:pos="4320"/>
        </w:tabs>
        <w:spacing w:before="120"/>
      </w:pPr>
      <w:r>
        <w:t xml:space="preserve">Constance </w:t>
      </w:r>
      <w:proofErr w:type="spellStart"/>
      <w:r>
        <w:t>Baumgardt</w:t>
      </w:r>
      <w:proofErr w:type="spellEnd"/>
      <w:r>
        <w:t xml:space="preserve"> Blackburn</w:t>
      </w:r>
      <w:r w:rsidRPr="00EB645D">
        <w:tab/>
      </w:r>
      <w:r>
        <w:t>Teacher Representative</w:t>
      </w:r>
    </w:p>
    <w:p w14:paraId="37252F0B" w14:textId="77777777" w:rsidR="00A72CD6" w:rsidRPr="00EB645D" w:rsidRDefault="00A72CD6" w:rsidP="00A72CD6">
      <w:pPr>
        <w:tabs>
          <w:tab w:val="left" w:pos="4320"/>
        </w:tabs>
        <w:spacing w:before="120"/>
      </w:pPr>
      <w:r>
        <w:t>Josephine Calderon</w:t>
      </w:r>
      <w:r w:rsidRPr="00EB645D">
        <w:tab/>
        <w:t>Public Representative</w:t>
      </w:r>
      <w:r w:rsidRPr="00EB645D">
        <w:tab/>
      </w:r>
    </w:p>
    <w:p w14:paraId="288A7816" w14:textId="77777777" w:rsidR="00A72CD6" w:rsidRPr="00EB645D" w:rsidRDefault="00A72CD6" w:rsidP="00A72CD6">
      <w:pPr>
        <w:tabs>
          <w:tab w:val="left" w:pos="4320"/>
        </w:tabs>
        <w:spacing w:before="120"/>
      </w:pPr>
      <w:r>
        <w:t>Marlon Evans</w:t>
      </w:r>
      <w:r w:rsidRPr="00EB645D">
        <w:tab/>
      </w:r>
      <w:r>
        <w:t>Public Representative</w:t>
      </w:r>
    </w:p>
    <w:p w14:paraId="632DBB95" w14:textId="77777777" w:rsidR="00A72CD6" w:rsidRPr="00EB645D" w:rsidRDefault="00A72CD6" w:rsidP="00A72CD6">
      <w:pPr>
        <w:tabs>
          <w:tab w:val="left" w:pos="4320"/>
        </w:tabs>
        <w:spacing w:before="120"/>
      </w:pPr>
      <w:r>
        <w:t>Charles Gahagan</w:t>
      </w:r>
      <w:r w:rsidRPr="00EB645D">
        <w:tab/>
      </w:r>
      <w:r>
        <w:t>Teacher Representative</w:t>
      </w:r>
    </w:p>
    <w:p w14:paraId="6C8229EE" w14:textId="77777777" w:rsidR="00A72CD6" w:rsidRPr="00EB645D" w:rsidRDefault="00A72CD6" w:rsidP="00A72CD6">
      <w:pPr>
        <w:tabs>
          <w:tab w:val="left" w:pos="4320"/>
        </w:tabs>
        <w:spacing w:before="120"/>
      </w:pPr>
      <w:r>
        <w:t>Steven Dean</w:t>
      </w:r>
      <w:r w:rsidRPr="00EB645D">
        <w:tab/>
      </w:r>
      <w:r>
        <w:t>Teacher Representative</w:t>
      </w:r>
    </w:p>
    <w:p w14:paraId="588F7164" w14:textId="77777777" w:rsidR="00A72CD6" w:rsidRPr="00EB645D" w:rsidRDefault="00A72CD6" w:rsidP="00A72CD6">
      <w:pPr>
        <w:tabs>
          <w:tab w:val="left" w:pos="4320"/>
        </w:tabs>
        <w:spacing w:before="120"/>
      </w:pPr>
      <w:r>
        <w:t>Leslie Littman</w:t>
      </w:r>
      <w:r w:rsidRPr="00EB645D">
        <w:tab/>
      </w:r>
      <w:r>
        <w:t>Designee, Superintendent of Public Instruction</w:t>
      </w:r>
    </w:p>
    <w:p w14:paraId="11FDF2C1" w14:textId="77777777" w:rsidR="00A72CD6" w:rsidRPr="00EB645D" w:rsidRDefault="00A72CD6" w:rsidP="00A72CD6">
      <w:pPr>
        <w:tabs>
          <w:tab w:val="left" w:pos="4320"/>
        </w:tabs>
        <w:spacing w:before="120"/>
      </w:pPr>
      <w:r>
        <w:t xml:space="preserve">Carolyn </w:t>
      </w:r>
      <w:proofErr w:type="spellStart"/>
      <w:r>
        <w:t>McInerney</w:t>
      </w:r>
      <w:proofErr w:type="spellEnd"/>
      <w:r>
        <w:tab/>
        <w:t>School Board Member</w:t>
      </w:r>
    </w:p>
    <w:p w14:paraId="56569F64" w14:textId="77777777" w:rsidR="00A72CD6" w:rsidRDefault="00A72CD6" w:rsidP="00A72CD6">
      <w:pPr>
        <w:tabs>
          <w:tab w:val="left" w:pos="4320"/>
        </w:tabs>
        <w:spacing w:before="120"/>
        <w:ind w:left="4320" w:hanging="4320"/>
      </w:pPr>
      <w:r>
        <w:t xml:space="preserve">Irene </w:t>
      </w:r>
      <w:proofErr w:type="spellStart"/>
      <w:r>
        <w:t>Oropeza</w:t>
      </w:r>
      <w:proofErr w:type="spellEnd"/>
      <w:r>
        <w:t>-Enriquez</w:t>
      </w:r>
      <w:r>
        <w:tab/>
        <w:t>Administrative Services Representative</w:t>
      </w:r>
    </w:p>
    <w:p w14:paraId="542DB1E4" w14:textId="77777777" w:rsidR="00A72CD6" w:rsidRDefault="00A72CD6" w:rsidP="00A72CD6">
      <w:pPr>
        <w:tabs>
          <w:tab w:val="left" w:pos="4320"/>
        </w:tabs>
        <w:spacing w:before="120"/>
        <w:ind w:left="4320" w:hanging="4320"/>
      </w:pPr>
      <w:r>
        <w:t>David Pearson</w:t>
      </w:r>
      <w:r>
        <w:tab/>
        <w:t>Faculty Representative</w:t>
      </w:r>
    </w:p>
    <w:p w14:paraId="780E6D9D" w14:textId="77777777" w:rsidR="00A72CD6" w:rsidRPr="00EB645D" w:rsidRDefault="00A72CD6" w:rsidP="00A72CD6">
      <w:pPr>
        <w:tabs>
          <w:tab w:val="left" w:pos="4320"/>
        </w:tabs>
        <w:spacing w:before="120"/>
        <w:ind w:left="4320" w:hanging="4320"/>
      </w:pPr>
      <w:r>
        <w:t>Ting Sun</w:t>
      </w:r>
      <w:r>
        <w:tab/>
        <w:t>Public Representative</w:t>
      </w:r>
    </w:p>
    <w:p w14:paraId="1D8B346E" w14:textId="765C00B5" w:rsidR="00A72CD6" w:rsidRPr="00CE2CAB" w:rsidRDefault="00A72CD6" w:rsidP="00CE2CAB">
      <w:pPr>
        <w:tabs>
          <w:tab w:val="left" w:pos="4320"/>
        </w:tabs>
        <w:spacing w:before="120"/>
      </w:pPr>
      <w:r w:rsidRPr="00EB645D">
        <w:tab/>
      </w:r>
    </w:p>
    <w:p w14:paraId="00672772" w14:textId="77777777" w:rsidR="00A72CD6" w:rsidRPr="00EB645D" w:rsidRDefault="00A72CD6" w:rsidP="00F17541">
      <w:pPr>
        <w:rPr>
          <w:rFonts w:eastAsia="Times"/>
        </w:rPr>
      </w:pPr>
    </w:p>
    <w:p w14:paraId="1060FED5" w14:textId="77777777" w:rsidR="00A72CD6" w:rsidRPr="00EB645D" w:rsidRDefault="00A72CD6" w:rsidP="00CE2CAB">
      <w:pPr>
        <w:pStyle w:val="Heading2"/>
      </w:pPr>
      <w:bookmarkStart w:id="13" w:name="_Toc148861602"/>
      <w:bookmarkStart w:id="14" w:name="_Toc159754157"/>
      <w:bookmarkStart w:id="15" w:name="_Toc335914616"/>
      <w:bookmarkStart w:id="16" w:name="_Toc335914794"/>
      <w:bookmarkStart w:id="17" w:name="_Toc335915002"/>
      <w:bookmarkStart w:id="18" w:name="_Toc335915093"/>
      <w:bookmarkStart w:id="19" w:name="_Toc335915243"/>
      <w:bookmarkStart w:id="20" w:name="_Toc135655545"/>
      <w:r w:rsidRPr="00EB645D">
        <w:t>Ex Officio Representatives</w:t>
      </w:r>
      <w:bookmarkEnd w:id="13"/>
      <w:bookmarkEnd w:id="14"/>
      <w:bookmarkEnd w:id="15"/>
      <w:bookmarkEnd w:id="16"/>
      <w:bookmarkEnd w:id="17"/>
      <w:bookmarkEnd w:id="18"/>
      <w:bookmarkEnd w:id="19"/>
      <w:bookmarkEnd w:id="20"/>
    </w:p>
    <w:p w14:paraId="741CF09E" w14:textId="77777777" w:rsidR="00A72CD6" w:rsidRPr="00EB645D" w:rsidRDefault="00A72CD6" w:rsidP="00A72CD6">
      <w:pPr>
        <w:jc w:val="center"/>
        <w:rPr>
          <w:sz w:val="12"/>
          <w:szCs w:val="12"/>
        </w:rPr>
      </w:pPr>
    </w:p>
    <w:p w14:paraId="1547D14C" w14:textId="77777777" w:rsidR="00A72CD6" w:rsidRPr="00EB645D" w:rsidRDefault="00A72CD6" w:rsidP="00A72CD6">
      <w:pPr>
        <w:tabs>
          <w:tab w:val="left" w:pos="4320"/>
        </w:tabs>
        <w:ind w:left="4320" w:hanging="4320"/>
      </w:pPr>
      <w:r>
        <w:t xml:space="preserve">Shane </w:t>
      </w:r>
      <w:smartTag w:uri="urn:schemas-microsoft-com:office:smarttags" w:element="PersonName">
        <w:r>
          <w:t>Ma</w:t>
        </w:r>
      </w:smartTag>
      <w:r>
        <w:t>rtin</w:t>
      </w:r>
      <w:r w:rsidRPr="00EB645D">
        <w:tab/>
        <w:t>Association of Independent California Colleges and Universities</w:t>
      </w:r>
    </w:p>
    <w:p w14:paraId="7F350BE0" w14:textId="77777777" w:rsidR="00A72CD6" w:rsidRPr="00EB645D" w:rsidRDefault="00A72CD6" w:rsidP="00A72CD6">
      <w:pPr>
        <w:tabs>
          <w:tab w:val="left" w:pos="4320"/>
        </w:tabs>
        <w:ind w:left="4320" w:hanging="4320"/>
      </w:pPr>
    </w:p>
    <w:p w14:paraId="31158437" w14:textId="77777777" w:rsidR="00A72CD6" w:rsidRPr="00EB645D" w:rsidRDefault="00A72CD6" w:rsidP="00A72CD6">
      <w:pPr>
        <w:tabs>
          <w:tab w:val="left" w:pos="4320"/>
        </w:tabs>
        <w:ind w:left="4320" w:hanging="4320"/>
      </w:pPr>
      <w:r w:rsidRPr="00EB645D">
        <w:t>Marilyn T. McGrath</w:t>
      </w:r>
      <w:r w:rsidRPr="00EB645D">
        <w:tab/>
        <w:t xml:space="preserve">California Postsecondary </w:t>
      </w:r>
      <w:smartTag w:uri="urn:schemas-microsoft-com:office:smarttags" w:element="PersonName">
        <w:r w:rsidRPr="00EB645D">
          <w:t>Ed</w:t>
        </w:r>
      </w:smartTag>
      <w:r w:rsidRPr="00EB645D">
        <w:t>ucation Commission</w:t>
      </w:r>
    </w:p>
    <w:p w14:paraId="217E04EE" w14:textId="77777777" w:rsidR="00A72CD6" w:rsidRDefault="00A72CD6" w:rsidP="00A72CD6">
      <w:pPr>
        <w:tabs>
          <w:tab w:val="left" w:pos="4320"/>
        </w:tabs>
        <w:ind w:left="4320" w:hanging="4320"/>
      </w:pPr>
    </w:p>
    <w:p w14:paraId="7A8FD4DB" w14:textId="77777777" w:rsidR="00A72CD6" w:rsidRPr="00EB645D" w:rsidRDefault="00A72CD6" w:rsidP="00A72CD6">
      <w:pPr>
        <w:tabs>
          <w:tab w:val="left" w:pos="4320"/>
        </w:tabs>
        <w:ind w:left="4320" w:hanging="4320"/>
      </w:pPr>
      <w:r>
        <w:t>Ti</w:t>
      </w:r>
      <w:smartTag w:uri="urn:schemas-microsoft-com:office:smarttags" w:element="PersonName">
        <w:r>
          <w:t>ne</w:t>
        </w:r>
      </w:smartTag>
      <w:r>
        <w:t xml:space="preserve"> Sloan</w:t>
      </w:r>
      <w:r>
        <w:tab/>
      </w:r>
      <w:r w:rsidRPr="00EB645D">
        <w:t>University of California</w:t>
      </w:r>
    </w:p>
    <w:p w14:paraId="7AE5D0D0" w14:textId="77777777" w:rsidR="00A72CD6" w:rsidRPr="00EB645D" w:rsidRDefault="00A72CD6" w:rsidP="00A72CD6">
      <w:pPr>
        <w:tabs>
          <w:tab w:val="left" w:pos="4320"/>
        </w:tabs>
        <w:ind w:left="4320" w:hanging="4320"/>
      </w:pPr>
    </w:p>
    <w:p w14:paraId="5D88B41F" w14:textId="77777777" w:rsidR="00A72CD6" w:rsidRPr="00EB645D" w:rsidRDefault="00A72CD6" w:rsidP="00F17541">
      <w:pPr>
        <w:tabs>
          <w:tab w:val="left" w:pos="4320"/>
        </w:tabs>
        <w:spacing w:line="600" w:lineRule="auto"/>
      </w:pPr>
      <w:r w:rsidRPr="00EB645D">
        <w:t>Beverly Young</w:t>
      </w:r>
      <w:r w:rsidRPr="00EB645D">
        <w:tab/>
        <w:t>California State University</w:t>
      </w:r>
    </w:p>
    <w:p w14:paraId="6072ED24" w14:textId="77777777" w:rsidR="00A72CD6" w:rsidRPr="00EB645D" w:rsidRDefault="00A72CD6" w:rsidP="00A72CD6">
      <w:pPr>
        <w:ind w:left="5040" w:hanging="5040"/>
      </w:pPr>
    </w:p>
    <w:p w14:paraId="34005CCA" w14:textId="77777777" w:rsidR="00A72CD6" w:rsidRPr="00F17541" w:rsidRDefault="00A72CD6" w:rsidP="00CE2CAB">
      <w:pPr>
        <w:pStyle w:val="Heading2"/>
      </w:pPr>
      <w:bookmarkStart w:id="21" w:name="_Toc148861603"/>
      <w:bookmarkStart w:id="22" w:name="_Toc159754158"/>
      <w:bookmarkStart w:id="23" w:name="_Toc335914617"/>
      <w:bookmarkStart w:id="24" w:name="_Toc335914795"/>
      <w:bookmarkStart w:id="25" w:name="_Toc335915003"/>
      <w:bookmarkStart w:id="26" w:name="_Toc335915094"/>
      <w:bookmarkStart w:id="27" w:name="_Toc335915244"/>
      <w:bookmarkStart w:id="28" w:name="_Toc135655546"/>
      <w:r w:rsidRPr="00F17541">
        <w:t xml:space="preserve">Executive </w:t>
      </w:r>
      <w:bookmarkEnd w:id="21"/>
      <w:r w:rsidRPr="00F17541">
        <w:t>Officer</w:t>
      </w:r>
      <w:bookmarkEnd w:id="22"/>
      <w:bookmarkEnd w:id="23"/>
      <w:bookmarkEnd w:id="24"/>
      <w:bookmarkEnd w:id="25"/>
      <w:bookmarkEnd w:id="26"/>
      <w:bookmarkEnd w:id="27"/>
      <w:bookmarkEnd w:id="28"/>
    </w:p>
    <w:p w14:paraId="0CF47BA4" w14:textId="77777777" w:rsidR="00A72CD6" w:rsidRPr="00EB645D" w:rsidRDefault="00A72CD6" w:rsidP="00A72CD6">
      <w:pPr>
        <w:rPr>
          <w:sz w:val="12"/>
          <w:szCs w:val="12"/>
        </w:rPr>
      </w:pPr>
    </w:p>
    <w:p w14:paraId="1A37F648" w14:textId="77777777" w:rsidR="00A72CD6" w:rsidRPr="00EB645D" w:rsidRDefault="00A72CD6" w:rsidP="00A72CD6">
      <w:pPr>
        <w:tabs>
          <w:tab w:val="left" w:pos="4320"/>
        </w:tabs>
      </w:pPr>
      <w:r>
        <w:t>Dale A. Janssen</w:t>
      </w:r>
      <w:r w:rsidRPr="00EB645D">
        <w:tab/>
        <w:t xml:space="preserve">Executive Director </w:t>
      </w:r>
      <w:r w:rsidRPr="00EB645D">
        <w:tab/>
      </w:r>
    </w:p>
    <w:p w14:paraId="6FEFE85E" w14:textId="77777777" w:rsidR="00773E87" w:rsidRDefault="00773E87" w:rsidP="003507BB">
      <w:pPr>
        <w:rPr>
          <w:b/>
          <w:sz w:val="36"/>
          <w:szCs w:val="36"/>
        </w:rPr>
      </w:pPr>
    </w:p>
    <w:p w14:paraId="61B25189" w14:textId="77777777" w:rsidR="003507BB" w:rsidRDefault="003507BB" w:rsidP="003507BB"/>
    <w:p w14:paraId="10EEEA7C" w14:textId="77777777" w:rsidR="00A72CD6" w:rsidRDefault="00A72CD6" w:rsidP="00C740FE">
      <w:pPr>
        <w:pStyle w:val="Heading2"/>
      </w:pPr>
      <w:bookmarkStart w:id="29" w:name="_Toc337553967"/>
      <w:bookmarkStart w:id="30" w:name="_Toc135655547"/>
      <w:r>
        <w:t>The Bilingual Certification Design Team</w:t>
      </w:r>
      <w:bookmarkEnd w:id="29"/>
      <w:bookmarkEnd w:id="30"/>
    </w:p>
    <w:p w14:paraId="38A6583C" w14:textId="77777777" w:rsidR="00A72CD6" w:rsidRPr="00922F1D" w:rsidRDefault="00A72CD6" w:rsidP="00A72CD6">
      <w:pPr>
        <w:jc w:val="center"/>
        <w:rPr>
          <w:sz w:val="20"/>
        </w:rPr>
      </w:pPr>
    </w:p>
    <w:p w14:paraId="6093D0AF" w14:textId="77777777" w:rsidR="00A72CD6" w:rsidRDefault="00A72CD6" w:rsidP="00A72CD6">
      <w:pPr>
        <w:jc w:val="center"/>
        <w:rPr>
          <w:b/>
          <w:sz w:val="28"/>
        </w:rPr>
      </w:pPr>
      <w:r>
        <w:rPr>
          <w:b/>
          <w:sz w:val="28"/>
        </w:rPr>
        <w:t>California Commission on Teacher Credentialing</w:t>
      </w:r>
    </w:p>
    <w:p w14:paraId="21B9B014" w14:textId="77777777" w:rsidR="00A72CD6" w:rsidRDefault="00A72CD6" w:rsidP="00A72CD6">
      <w:pPr>
        <w:jc w:val="center"/>
        <w:rPr>
          <w:b/>
        </w:rPr>
      </w:pPr>
      <w:r>
        <w:rPr>
          <w:b/>
        </w:rPr>
        <w:t>2006-2007</w:t>
      </w:r>
    </w:p>
    <w:p w14:paraId="6BA4B552" w14:textId="77777777" w:rsidR="00A72CD6" w:rsidRDefault="00A72CD6" w:rsidP="00A72CD6">
      <w:pPr>
        <w:autoSpaceDE w:val="0"/>
        <w:autoSpaceDN w:val="0"/>
        <w:adjustRightInd w:val="0"/>
        <w:rPr>
          <w:sz w:val="20"/>
          <w:szCs w:val="20"/>
        </w:rPr>
      </w:pPr>
    </w:p>
    <w:tbl>
      <w:tblPr>
        <w:tblW w:w="5456" w:type="pct"/>
        <w:tblInd w:w="-245" w:type="dxa"/>
        <w:tblLook w:val="01E0" w:firstRow="1" w:lastRow="1" w:firstColumn="1" w:lastColumn="1" w:noHBand="0" w:noVBand="0"/>
      </w:tblPr>
      <w:tblGrid>
        <w:gridCol w:w="2582"/>
        <w:gridCol w:w="3618"/>
        <w:gridCol w:w="4014"/>
      </w:tblGrid>
      <w:tr w:rsidR="00FB1F89" w:rsidRPr="00922F1D" w14:paraId="6743955F" w14:textId="77777777" w:rsidTr="00FB1F89">
        <w:trPr>
          <w:cantSplit/>
          <w:tblHeader/>
        </w:trPr>
        <w:tc>
          <w:tcPr>
            <w:tcW w:w="1264" w:type="pct"/>
            <w:tcMar>
              <w:top w:w="72" w:type="dxa"/>
              <w:left w:w="115" w:type="dxa"/>
              <w:bottom w:w="72" w:type="dxa"/>
              <w:right w:w="115" w:type="dxa"/>
            </w:tcMar>
          </w:tcPr>
          <w:p w14:paraId="4C4ED1C1" w14:textId="7DD1FB1F" w:rsidR="00FB1F89" w:rsidRPr="00FB1F89" w:rsidRDefault="00FB1F89" w:rsidP="009F1F9A">
            <w:pPr>
              <w:tabs>
                <w:tab w:val="left" w:pos="720"/>
              </w:tabs>
              <w:autoSpaceDE w:val="0"/>
              <w:autoSpaceDN w:val="0"/>
              <w:adjustRightInd w:val="0"/>
              <w:rPr>
                <w:b/>
              </w:rPr>
            </w:pPr>
            <w:r w:rsidRPr="00FB1F89">
              <w:rPr>
                <w:b/>
              </w:rPr>
              <w:t>Name</w:t>
            </w:r>
          </w:p>
        </w:tc>
        <w:tc>
          <w:tcPr>
            <w:tcW w:w="1771" w:type="pct"/>
            <w:tcMar>
              <w:top w:w="72" w:type="dxa"/>
              <w:left w:w="115" w:type="dxa"/>
              <w:bottom w:w="72" w:type="dxa"/>
              <w:right w:w="115" w:type="dxa"/>
            </w:tcMar>
          </w:tcPr>
          <w:p w14:paraId="06D1AF96" w14:textId="5FF3DC98" w:rsidR="00FB1F89" w:rsidRPr="00FB1F89" w:rsidRDefault="00FB1F89" w:rsidP="009F1F9A">
            <w:pPr>
              <w:tabs>
                <w:tab w:val="left" w:pos="720"/>
              </w:tabs>
              <w:autoSpaceDE w:val="0"/>
              <w:autoSpaceDN w:val="0"/>
              <w:adjustRightInd w:val="0"/>
              <w:rPr>
                <w:b/>
              </w:rPr>
            </w:pPr>
            <w:r w:rsidRPr="00FB1F89">
              <w:rPr>
                <w:b/>
              </w:rPr>
              <w:t>Position</w:t>
            </w:r>
          </w:p>
        </w:tc>
        <w:tc>
          <w:tcPr>
            <w:tcW w:w="1965" w:type="pct"/>
            <w:tcMar>
              <w:top w:w="72" w:type="dxa"/>
              <w:left w:w="115" w:type="dxa"/>
              <w:bottom w:w="72" w:type="dxa"/>
              <w:right w:w="115" w:type="dxa"/>
            </w:tcMar>
          </w:tcPr>
          <w:p w14:paraId="3549B222" w14:textId="18B8261B" w:rsidR="00FB1F89" w:rsidRPr="00FB1F89" w:rsidRDefault="00FB1F89" w:rsidP="009F1F9A">
            <w:pPr>
              <w:tabs>
                <w:tab w:val="left" w:pos="720"/>
              </w:tabs>
              <w:autoSpaceDE w:val="0"/>
              <w:autoSpaceDN w:val="0"/>
              <w:adjustRightInd w:val="0"/>
              <w:rPr>
                <w:b/>
              </w:rPr>
            </w:pPr>
            <w:r w:rsidRPr="00FB1F89">
              <w:rPr>
                <w:b/>
              </w:rPr>
              <w:t>Affiliation</w:t>
            </w:r>
          </w:p>
        </w:tc>
      </w:tr>
      <w:tr w:rsidR="00A72CD6" w:rsidRPr="00922F1D" w14:paraId="313321D8" w14:textId="77777777" w:rsidTr="00FB1F89">
        <w:trPr>
          <w:cantSplit/>
        </w:trPr>
        <w:tc>
          <w:tcPr>
            <w:tcW w:w="1264" w:type="pct"/>
            <w:tcMar>
              <w:top w:w="72" w:type="dxa"/>
              <w:left w:w="115" w:type="dxa"/>
              <w:bottom w:w="72" w:type="dxa"/>
              <w:right w:w="115" w:type="dxa"/>
            </w:tcMar>
          </w:tcPr>
          <w:p w14:paraId="28CD04A0" w14:textId="77777777" w:rsidR="00A72CD6" w:rsidRPr="00922F1D" w:rsidRDefault="00A72CD6" w:rsidP="009F1F9A">
            <w:pPr>
              <w:tabs>
                <w:tab w:val="left" w:pos="720"/>
              </w:tabs>
              <w:autoSpaceDE w:val="0"/>
              <w:autoSpaceDN w:val="0"/>
              <w:adjustRightInd w:val="0"/>
              <w:rPr>
                <w:bCs/>
              </w:rPr>
            </w:pPr>
            <w:r w:rsidRPr="00922F1D">
              <w:rPr>
                <w:bCs/>
              </w:rPr>
              <w:t>Harold Acord</w:t>
            </w:r>
          </w:p>
        </w:tc>
        <w:tc>
          <w:tcPr>
            <w:tcW w:w="1771" w:type="pct"/>
            <w:tcMar>
              <w:top w:w="72" w:type="dxa"/>
              <w:left w:w="115" w:type="dxa"/>
              <w:bottom w:w="72" w:type="dxa"/>
              <w:right w:w="115" w:type="dxa"/>
            </w:tcMar>
          </w:tcPr>
          <w:p w14:paraId="5C372F16" w14:textId="77777777" w:rsidR="00A72CD6" w:rsidRPr="00922F1D" w:rsidRDefault="00A72CD6" w:rsidP="009F1F9A">
            <w:pPr>
              <w:tabs>
                <w:tab w:val="left" w:pos="720"/>
              </w:tabs>
              <w:autoSpaceDE w:val="0"/>
              <w:autoSpaceDN w:val="0"/>
              <w:adjustRightInd w:val="0"/>
              <w:rPr>
                <w:bCs/>
              </w:rPr>
            </w:pPr>
            <w:r w:rsidRPr="00922F1D">
              <w:rPr>
                <w:bCs/>
              </w:rPr>
              <w:t>Spanish Teacher</w:t>
            </w:r>
          </w:p>
          <w:p w14:paraId="4C164B57" w14:textId="77777777" w:rsidR="00A72CD6" w:rsidRPr="00922F1D" w:rsidRDefault="00A72CD6" w:rsidP="009F1F9A">
            <w:pPr>
              <w:tabs>
                <w:tab w:val="left" w:pos="720"/>
              </w:tabs>
              <w:autoSpaceDE w:val="0"/>
              <w:autoSpaceDN w:val="0"/>
              <w:adjustRightInd w:val="0"/>
              <w:rPr>
                <w:bCs/>
              </w:rPr>
            </w:pPr>
          </w:p>
        </w:tc>
        <w:tc>
          <w:tcPr>
            <w:tcW w:w="1965" w:type="pct"/>
            <w:tcMar>
              <w:top w:w="72" w:type="dxa"/>
              <w:left w:w="115" w:type="dxa"/>
              <w:bottom w:w="72" w:type="dxa"/>
              <w:right w:w="115" w:type="dxa"/>
            </w:tcMar>
          </w:tcPr>
          <w:p w14:paraId="0E55151C" w14:textId="77777777" w:rsidR="00A72CD6" w:rsidRPr="00922F1D" w:rsidRDefault="00A72CD6" w:rsidP="009F1F9A">
            <w:pPr>
              <w:tabs>
                <w:tab w:val="left" w:pos="720"/>
              </w:tabs>
              <w:autoSpaceDE w:val="0"/>
              <w:autoSpaceDN w:val="0"/>
              <w:adjustRightInd w:val="0"/>
              <w:rPr>
                <w:bCs/>
              </w:rPr>
            </w:pPr>
            <w:r w:rsidRPr="00922F1D">
              <w:rPr>
                <w:bCs/>
              </w:rPr>
              <w:t>Moreno Valley School District</w:t>
            </w:r>
          </w:p>
          <w:p w14:paraId="7117981A" w14:textId="77777777" w:rsidR="00A72CD6" w:rsidRPr="00922F1D" w:rsidRDefault="00A72CD6" w:rsidP="009F1F9A">
            <w:pPr>
              <w:tabs>
                <w:tab w:val="left" w:pos="720"/>
              </w:tabs>
              <w:autoSpaceDE w:val="0"/>
              <w:autoSpaceDN w:val="0"/>
              <w:adjustRightInd w:val="0"/>
              <w:rPr>
                <w:bCs/>
              </w:rPr>
            </w:pPr>
            <w:r w:rsidRPr="00922F1D">
              <w:rPr>
                <w:bCs/>
              </w:rPr>
              <w:t>California Teachers Association</w:t>
            </w:r>
          </w:p>
        </w:tc>
      </w:tr>
      <w:tr w:rsidR="00A72CD6" w:rsidRPr="00922F1D" w14:paraId="1D47C9D1" w14:textId="77777777" w:rsidTr="00FB1F89">
        <w:trPr>
          <w:cantSplit/>
        </w:trPr>
        <w:tc>
          <w:tcPr>
            <w:tcW w:w="1264" w:type="pct"/>
            <w:tcMar>
              <w:top w:w="72" w:type="dxa"/>
              <w:left w:w="115" w:type="dxa"/>
              <w:bottom w:w="72" w:type="dxa"/>
              <w:right w:w="115" w:type="dxa"/>
            </w:tcMar>
          </w:tcPr>
          <w:p w14:paraId="11A633D0" w14:textId="77777777" w:rsidR="00A72CD6" w:rsidRPr="00922F1D" w:rsidRDefault="00A72CD6" w:rsidP="009F1F9A">
            <w:pPr>
              <w:tabs>
                <w:tab w:val="left" w:pos="720"/>
              </w:tabs>
              <w:autoSpaceDE w:val="0"/>
              <w:autoSpaceDN w:val="0"/>
              <w:adjustRightInd w:val="0"/>
              <w:rPr>
                <w:bCs/>
              </w:rPr>
            </w:pPr>
            <w:smartTag w:uri="urn:schemas-microsoft-com:office:smarttags" w:element="PersonName">
              <w:r w:rsidRPr="00922F1D">
                <w:rPr>
                  <w:bCs/>
                </w:rPr>
                <w:t>Estella Acosta</w:t>
              </w:r>
            </w:smartTag>
          </w:p>
          <w:p w14:paraId="301E6BF5" w14:textId="77777777" w:rsidR="00A72CD6" w:rsidRPr="00922F1D" w:rsidRDefault="00A72CD6" w:rsidP="009F1F9A">
            <w:pPr>
              <w:tabs>
                <w:tab w:val="left" w:pos="720"/>
              </w:tabs>
              <w:autoSpaceDE w:val="0"/>
              <w:autoSpaceDN w:val="0"/>
              <w:adjustRightInd w:val="0"/>
              <w:rPr>
                <w:bCs/>
              </w:rPr>
            </w:pPr>
            <w:r w:rsidRPr="00922F1D">
              <w:rPr>
                <w:bCs/>
              </w:rPr>
              <w:t>Co-Chair</w:t>
            </w:r>
          </w:p>
        </w:tc>
        <w:tc>
          <w:tcPr>
            <w:tcW w:w="1771" w:type="pct"/>
            <w:tcMar>
              <w:top w:w="72" w:type="dxa"/>
              <w:left w:w="115" w:type="dxa"/>
              <w:bottom w:w="72" w:type="dxa"/>
              <w:right w:w="115" w:type="dxa"/>
            </w:tcMar>
          </w:tcPr>
          <w:p w14:paraId="1A207517" w14:textId="77777777" w:rsidR="00A72CD6" w:rsidRPr="00922F1D" w:rsidRDefault="00A72CD6" w:rsidP="009F1F9A">
            <w:pPr>
              <w:tabs>
                <w:tab w:val="left" w:pos="720"/>
              </w:tabs>
              <w:autoSpaceDE w:val="0"/>
              <w:autoSpaceDN w:val="0"/>
              <w:adjustRightInd w:val="0"/>
              <w:rPr>
                <w:bCs/>
              </w:rPr>
            </w:pPr>
            <w:r w:rsidRPr="00922F1D">
              <w:rPr>
                <w:bCs/>
              </w:rPr>
              <w:t>Administrator, Literacy and Language Development</w:t>
            </w:r>
          </w:p>
        </w:tc>
        <w:tc>
          <w:tcPr>
            <w:tcW w:w="1965" w:type="pct"/>
            <w:tcMar>
              <w:top w:w="72" w:type="dxa"/>
              <w:left w:w="115" w:type="dxa"/>
              <w:bottom w:w="72" w:type="dxa"/>
              <w:right w:w="115" w:type="dxa"/>
            </w:tcMar>
          </w:tcPr>
          <w:p w14:paraId="6A38BA16" w14:textId="77777777" w:rsidR="00A72CD6" w:rsidRPr="00922F1D" w:rsidRDefault="00A72CD6" w:rsidP="009F1F9A">
            <w:pPr>
              <w:tabs>
                <w:tab w:val="left" w:pos="720"/>
              </w:tabs>
              <w:autoSpaceDE w:val="0"/>
              <w:autoSpaceDN w:val="0"/>
              <w:adjustRightInd w:val="0"/>
              <w:rPr>
                <w:bCs/>
              </w:rPr>
            </w:pPr>
            <w:r w:rsidRPr="00922F1D">
              <w:rPr>
                <w:bCs/>
              </w:rPr>
              <w:t>Orange County Department of Education</w:t>
            </w:r>
          </w:p>
        </w:tc>
      </w:tr>
      <w:tr w:rsidR="00A72CD6" w:rsidRPr="00922F1D" w14:paraId="76C1FF26" w14:textId="77777777" w:rsidTr="00FB1F89">
        <w:trPr>
          <w:cantSplit/>
        </w:trPr>
        <w:tc>
          <w:tcPr>
            <w:tcW w:w="1264" w:type="pct"/>
            <w:tcMar>
              <w:top w:w="72" w:type="dxa"/>
              <w:left w:w="115" w:type="dxa"/>
              <w:bottom w:w="72" w:type="dxa"/>
              <w:right w:w="115" w:type="dxa"/>
            </w:tcMar>
          </w:tcPr>
          <w:p w14:paraId="66161903" w14:textId="77777777" w:rsidR="00A72CD6" w:rsidRPr="00922F1D" w:rsidRDefault="00A72CD6" w:rsidP="009F1F9A">
            <w:pPr>
              <w:tabs>
                <w:tab w:val="left" w:pos="720"/>
              </w:tabs>
              <w:autoSpaceDE w:val="0"/>
              <w:autoSpaceDN w:val="0"/>
              <w:adjustRightInd w:val="0"/>
              <w:rPr>
                <w:bCs/>
              </w:rPr>
            </w:pPr>
            <w:r w:rsidRPr="00922F1D">
              <w:rPr>
                <w:bCs/>
              </w:rPr>
              <w:t>Denise Beck</w:t>
            </w:r>
          </w:p>
        </w:tc>
        <w:tc>
          <w:tcPr>
            <w:tcW w:w="1771" w:type="pct"/>
            <w:tcMar>
              <w:top w:w="72" w:type="dxa"/>
              <w:left w:w="115" w:type="dxa"/>
              <w:bottom w:w="72" w:type="dxa"/>
              <w:right w:w="115" w:type="dxa"/>
            </w:tcMar>
          </w:tcPr>
          <w:p w14:paraId="78CA69DE" w14:textId="77777777" w:rsidR="00A72CD6" w:rsidRPr="00922F1D" w:rsidRDefault="00A72CD6" w:rsidP="009F1F9A">
            <w:pPr>
              <w:tabs>
                <w:tab w:val="left" w:pos="720"/>
              </w:tabs>
              <w:autoSpaceDE w:val="0"/>
              <w:autoSpaceDN w:val="0"/>
              <w:adjustRightInd w:val="0"/>
              <w:rPr>
                <w:bCs/>
              </w:rPr>
            </w:pPr>
            <w:r w:rsidRPr="00922F1D">
              <w:rPr>
                <w:bCs/>
              </w:rPr>
              <w:t>Principal</w:t>
            </w:r>
          </w:p>
        </w:tc>
        <w:tc>
          <w:tcPr>
            <w:tcW w:w="1965" w:type="pct"/>
            <w:tcMar>
              <w:top w:w="72" w:type="dxa"/>
              <w:left w:w="115" w:type="dxa"/>
              <w:bottom w:w="72" w:type="dxa"/>
              <w:right w:w="115" w:type="dxa"/>
            </w:tcMar>
          </w:tcPr>
          <w:p w14:paraId="084C6B6E" w14:textId="348937C2" w:rsidR="00A72CD6" w:rsidRPr="00922F1D" w:rsidRDefault="00FB1F89" w:rsidP="009F1F9A">
            <w:pPr>
              <w:tabs>
                <w:tab w:val="left" w:pos="720"/>
              </w:tabs>
              <w:autoSpaceDE w:val="0"/>
              <w:autoSpaceDN w:val="0"/>
              <w:adjustRightInd w:val="0"/>
              <w:rPr>
                <w:bCs/>
              </w:rPr>
            </w:pPr>
            <w:r w:rsidRPr="00922F1D">
              <w:rPr>
                <w:bCs/>
              </w:rPr>
              <w:t>Davis Joint</w:t>
            </w:r>
            <w:r w:rsidR="00A72CD6" w:rsidRPr="00922F1D">
              <w:rPr>
                <w:bCs/>
              </w:rPr>
              <w:t xml:space="preserve"> Unified School District</w:t>
            </w:r>
          </w:p>
        </w:tc>
      </w:tr>
      <w:tr w:rsidR="00A72CD6" w:rsidRPr="00922F1D" w14:paraId="6937467F" w14:textId="77777777" w:rsidTr="00FB1F89">
        <w:trPr>
          <w:cantSplit/>
        </w:trPr>
        <w:tc>
          <w:tcPr>
            <w:tcW w:w="1264" w:type="pct"/>
            <w:tcMar>
              <w:top w:w="72" w:type="dxa"/>
              <w:left w:w="115" w:type="dxa"/>
              <w:bottom w:w="72" w:type="dxa"/>
              <w:right w:w="115" w:type="dxa"/>
            </w:tcMar>
          </w:tcPr>
          <w:p w14:paraId="0B664ABF" w14:textId="77777777" w:rsidR="00A72CD6" w:rsidRPr="00922F1D" w:rsidRDefault="00A72CD6" w:rsidP="009F1F9A">
            <w:pPr>
              <w:tabs>
                <w:tab w:val="left" w:pos="720"/>
              </w:tabs>
              <w:autoSpaceDE w:val="0"/>
              <w:autoSpaceDN w:val="0"/>
              <w:adjustRightInd w:val="0"/>
              <w:rPr>
                <w:bCs/>
              </w:rPr>
            </w:pPr>
            <w:r w:rsidRPr="00922F1D">
              <w:rPr>
                <w:bCs/>
              </w:rPr>
              <w:t xml:space="preserve">Karen </w:t>
            </w:r>
            <w:proofErr w:type="spellStart"/>
            <w:r w:rsidRPr="00922F1D">
              <w:rPr>
                <w:bCs/>
              </w:rPr>
              <w:t>Cadiero</w:t>
            </w:r>
            <w:proofErr w:type="spellEnd"/>
            <w:r w:rsidRPr="00922F1D">
              <w:rPr>
                <w:bCs/>
              </w:rPr>
              <w:t>-Kaplan</w:t>
            </w:r>
          </w:p>
        </w:tc>
        <w:tc>
          <w:tcPr>
            <w:tcW w:w="1771" w:type="pct"/>
            <w:tcMar>
              <w:top w:w="72" w:type="dxa"/>
              <w:left w:w="115" w:type="dxa"/>
              <w:bottom w:w="72" w:type="dxa"/>
              <w:right w:w="115" w:type="dxa"/>
            </w:tcMar>
          </w:tcPr>
          <w:p w14:paraId="6E4E3143" w14:textId="77777777" w:rsidR="00A72CD6" w:rsidRPr="00922F1D" w:rsidRDefault="00A72CD6" w:rsidP="009F1F9A">
            <w:pPr>
              <w:tabs>
                <w:tab w:val="left" w:pos="720"/>
              </w:tabs>
              <w:autoSpaceDE w:val="0"/>
              <w:autoSpaceDN w:val="0"/>
              <w:adjustRightInd w:val="0"/>
              <w:rPr>
                <w:bCs/>
              </w:rPr>
            </w:pPr>
            <w:r w:rsidRPr="00922F1D">
              <w:rPr>
                <w:bCs/>
              </w:rPr>
              <w:t>Associate Professor</w:t>
            </w:r>
          </w:p>
          <w:p w14:paraId="48C4DA2A" w14:textId="77777777" w:rsidR="00A72CD6" w:rsidRPr="00922F1D" w:rsidRDefault="00A72CD6" w:rsidP="009F1F9A">
            <w:pPr>
              <w:tabs>
                <w:tab w:val="left" w:pos="720"/>
              </w:tabs>
              <w:autoSpaceDE w:val="0"/>
              <w:autoSpaceDN w:val="0"/>
              <w:adjustRightInd w:val="0"/>
              <w:rPr>
                <w:bCs/>
              </w:rPr>
            </w:pPr>
          </w:p>
        </w:tc>
        <w:tc>
          <w:tcPr>
            <w:tcW w:w="1965" w:type="pct"/>
            <w:tcMar>
              <w:top w:w="72" w:type="dxa"/>
              <w:left w:w="115" w:type="dxa"/>
              <w:bottom w:w="72" w:type="dxa"/>
              <w:right w:w="115" w:type="dxa"/>
            </w:tcMar>
          </w:tcPr>
          <w:p w14:paraId="42F25CCB" w14:textId="77777777" w:rsidR="00A72CD6" w:rsidRPr="00922F1D" w:rsidRDefault="00A72CD6" w:rsidP="009F1F9A">
            <w:pPr>
              <w:tabs>
                <w:tab w:val="left" w:pos="720"/>
              </w:tabs>
              <w:autoSpaceDE w:val="0"/>
              <w:autoSpaceDN w:val="0"/>
              <w:adjustRightInd w:val="0"/>
              <w:rPr>
                <w:bCs/>
              </w:rPr>
            </w:pPr>
            <w:r w:rsidRPr="00922F1D">
              <w:rPr>
                <w:bCs/>
              </w:rPr>
              <w:t>San Diego State University</w:t>
            </w:r>
          </w:p>
          <w:p w14:paraId="66DEA1EC" w14:textId="77777777" w:rsidR="00A72CD6" w:rsidRPr="00922F1D" w:rsidRDefault="00A72CD6" w:rsidP="009F1F9A">
            <w:pPr>
              <w:tabs>
                <w:tab w:val="left" w:pos="720"/>
              </w:tabs>
              <w:autoSpaceDE w:val="0"/>
              <w:autoSpaceDN w:val="0"/>
              <w:adjustRightInd w:val="0"/>
              <w:rPr>
                <w:bCs/>
              </w:rPr>
            </w:pPr>
            <w:r w:rsidRPr="00922F1D">
              <w:rPr>
                <w:bCs/>
              </w:rPr>
              <w:t>Past President (2007-08),</w:t>
            </w:r>
          </w:p>
          <w:p w14:paraId="05F6D432" w14:textId="77777777" w:rsidR="00A72CD6" w:rsidRPr="00922F1D" w:rsidRDefault="00A72CD6" w:rsidP="009F1F9A">
            <w:pPr>
              <w:tabs>
                <w:tab w:val="left" w:pos="720"/>
              </w:tabs>
              <w:autoSpaceDE w:val="0"/>
              <w:autoSpaceDN w:val="0"/>
              <w:adjustRightInd w:val="0"/>
              <w:rPr>
                <w:bCs/>
              </w:rPr>
            </w:pPr>
            <w:r w:rsidRPr="00922F1D">
              <w:rPr>
                <w:bCs/>
              </w:rPr>
              <w:t>California Teachers of English to Speakers of Other Languages (CATESOL)</w:t>
            </w:r>
          </w:p>
        </w:tc>
      </w:tr>
      <w:tr w:rsidR="00A72CD6" w:rsidRPr="00922F1D" w14:paraId="76D95F9C" w14:textId="77777777" w:rsidTr="00FB1F89">
        <w:trPr>
          <w:cantSplit/>
        </w:trPr>
        <w:tc>
          <w:tcPr>
            <w:tcW w:w="1264" w:type="pct"/>
            <w:tcMar>
              <w:top w:w="72" w:type="dxa"/>
              <w:left w:w="115" w:type="dxa"/>
              <w:bottom w:w="72" w:type="dxa"/>
              <w:right w:w="115" w:type="dxa"/>
            </w:tcMar>
          </w:tcPr>
          <w:p w14:paraId="08986928" w14:textId="77777777" w:rsidR="00A72CD6" w:rsidRPr="00922F1D" w:rsidRDefault="00A72CD6" w:rsidP="009F1F9A">
            <w:pPr>
              <w:tabs>
                <w:tab w:val="left" w:pos="720"/>
              </w:tabs>
              <w:autoSpaceDE w:val="0"/>
              <w:autoSpaceDN w:val="0"/>
              <w:adjustRightInd w:val="0"/>
              <w:rPr>
                <w:bCs/>
              </w:rPr>
            </w:pPr>
            <w:r w:rsidRPr="00922F1D">
              <w:rPr>
                <w:bCs/>
              </w:rPr>
              <w:t>Sara Fields</w:t>
            </w:r>
          </w:p>
        </w:tc>
        <w:tc>
          <w:tcPr>
            <w:tcW w:w="1771" w:type="pct"/>
            <w:tcMar>
              <w:top w:w="72" w:type="dxa"/>
              <w:left w:w="115" w:type="dxa"/>
              <w:bottom w:w="72" w:type="dxa"/>
              <w:right w:w="115" w:type="dxa"/>
            </w:tcMar>
          </w:tcPr>
          <w:p w14:paraId="5A06D00A" w14:textId="77777777" w:rsidR="00A72CD6" w:rsidRPr="00922F1D" w:rsidRDefault="00A72CD6" w:rsidP="009F1F9A">
            <w:pPr>
              <w:tabs>
                <w:tab w:val="left" w:pos="720"/>
              </w:tabs>
              <w:autoSpaceDE w:val="0"/>
              <w:autoSpaceDN w:val="0"/>
              <w:adjustRightInd w:val="0"/>
              <w:rPr>
                <w:bCs/>
              </w:rPr>
            </w:pPr>
            <w:r w:rsidRPr="00922F1D">
              <w:rPr>
                <w:bCs/>
              </w:rPr>
              <w:t>Principal</w:t>
            </w:r>
          </w:p>
        </w:tc>
        <w:tc>
          <w:tcPr>
            <w:tcW w:w="1965" w:type="pct"/>
            <w:tcMar>
              <w:top w:w="72" w:type="dxa"/>
              <w:left w:w="115" w:type="dxa"/>
              <w:bottom w:w="72" w:type="dxa"/>
              <w:right w:w="115" w:type="dxa"/>
            </w:tcMar>
          </w:tcPr>
          <w:p w14:paraId="5267E56D" w14:textId="77777777" w:rsidR="00A72CD6" w:rsidRPr="00922F1D" w:rsidRDefault="00A72CD6" w:rsidP="009F1F9A">
            <w:pPr>
              <w:tabs>
                <w:tab w:val="left" w:pos="720"/>
              </w:tabs>
              <w:autoSpaceDE w:val="0"/>
              <w:autoSpaceDN w:val="0"/>
              <w:adjustRightInd w:val="0"/>
              <w:rPr>
                <w:bCs/>
              </w:rPr>
            </w:pPr>
            <w:r w:rsidRPr="00922F1D">
              <w:rPr>
                <w:bCs/>
              </w:rPr>
              <w:t>Culver City Unified School District</w:t>
            </w:r>
          </w:p>
        </w:tc>
      </w:tr>
      <w:tr w:rsidR="00A72CD6" w:rsidRPr="00922F1D" w14:paraId="7C5508DA" w14:textId="77777777" w:rsidTr="00FB1F89">
        <w:trPr>
          <w:cantSplit/>
        </w:trPr>
        <w:tc>
          <w:tcPr>
            <w:tcW w:w="1264" w:type="pct"/>
            <w:tcMar>
              <w:top w:w="72" w:type="dxa"/>
              <w:left w:w="115" w:type="dxa"/>
              <w:bottom w:w="72" w:type="dxa"/>
              <w:right w:w="115" w:type="dxa"/>
            </w:tcMar>
          </w:tcPr>
          <w:p w14:paraId="0C35DBC9" w14:textId="77777777" w:rsidR="00A72CD6" w:rsidRPr="00922F1D" w:rsidRDefault="00A72CD6" w:rsidP="009F1F9A">
            <w:pPr>
              <w:tabs>
                <w:tab w:val="left" w:pos="720"/>
              </w:tabs>
              <w:autoSpaceDE w:val="0"/>
              <w:autoSpaceDN w:val="0"/>
              <w:adjustRightInd w:val="0"/>
              <w:rPr>
                <w:bCs/>
              </w:rPr>
            </w:pPr>
            <w:smartTag w:uri="urn:schemas-microsoft-com:office:smarttags" w:element="PersonName">
              <w:r w:rsidRPr="00922F1D">
                <w:rPr>
                  <w:bCs/>
                </w:rPr>
                <w:t>Ma</w:t>
              </w:r>
            </w:smartTag>
            <w:r w:rsidRPr="00922F1D">
              <w:rPr>
                <w:bCs/>
              </w:rPr>
              <w:t>galy Lavadenz</w:t>
            </w:r>
          </w:p>
        </w:tc>
        <w:tc>
          <w:tcPr>
            <w:tcW w:w="1771" w:type="pct"/>
            <w:tcMar>
              <w:top w:w="72" w:type="dxa"/>
              <w:left w:w="115" w:type="dxa"/>
              <w:bottom w:w="72" w:type="dxa"/>
              <w:right w:w="115" w:type="dxa"/>
            </w:tcMar>
          </w:tcPr>
          <w:p w14:paraId="093D6818" w14:textId="77777777" w:rsidR="00A72CD6" w:rsidRPr="00922F1D" w:rsidRDefault="00A72CD6" w:rsidP="009F1F9A">
            <w:pPr>
              <w:tabs>
                <w:tab w:val="left" w:pos="720"/>
              </w:tabs>
              <w:autoSpaceDE w:val="0"/>
              <w:autoSpaceDN w:val="0"/>
              <w:adjustRightInd w:val="0"/>
              <w:rPr>
                <w:bCs/>
              </w:rPr>
            </w:pPr>
            <w:r w:rsidRPr="00922F1D">
              <w:rPr>
                <w:bCs/>
              </w:rPr>
              <w:t>Professor</w:t>
            </w:r>
          </w:p>
        </w:tc>
        <w:tc>
          <w:tcPr>
            <w:tcW w:w="1965" w:type="pct"/>
            <w:tcMar>
              <w:top w:w="72" w:type="dxa"/>
              <w:left w:w="115" w:type="dxa"/>
              <w:bottom w:w="72" w:type="dxa"/>
              <w:right w:w="115" w:type="dxa"/>
            </w:tcMar>
          </w:tcPr>
          <w:p w14:paraId="13CF0B6E" w14:textId="77777777" w:rsidR="00A72CD6" w:rsidRPr="00922F1D" w:rsidRDefault="00A72CD6" w:rsidP="009F1F9A">
            <w:pPr>
              <w:tabs>
                <w:tab w:val="left" w:pos="720"/>
              </w:tabs>
              <w:autoSpaceDE w:val="0"/>
              <w:autoSpaceDN w:val="0"/>
              <w:adjustRightInd w:val="0"/>
              <w:rPr>
                <w:bCs/>
              </w:rPr>
            </w:pPr>
            <w:r w:rsidRPr="00922F1D">
              <w:rPr>
                <w:bCs/>
              </w:rPr>
              <w:t>Loyola Marymount University</w:t>
            </w:r>
          </w:p>
          <w:p w14:paraId="08F642F9" w14:textId="77777777" w:rsidR="00A72CD6" w:rsidRPr="00922F1D" w:rsidRDefault="00A72CD6" w:rsidP="009F1F9A">
            <w:pPr>
              <w:tabs>
                <w:tab w:val="left" w:pos="720"/>
              </w:tabs>
              <w:autoSpaceDE w:val="0"/>
              <w:autoSpaceDN w:val="0"/>
              <w:adjustRightInd w:val="0"/>
              <w:rPr>
                <w:bCs/>
              </w:rPr>
            </w:pPr>
            <w:r w:rsidRPr="00922F1D">
              <w:rPr>
                <w:bCs/>
              </w:rPr>
              <w:t>Past President, California Association for Bilingual Education</w:t>
            </w:r>
          </w:p>
          <w:p w14:paraId="6A73ECEC" w14:textId="77777777" w:rsidR="00A72CD6" w:rsidRPr="00922F1D" w:rsidRDefault="00A72CD6" w:rsidP="009F1F9A">
            <w:pPr>
              <w:tabs>
                <w:tab w:val="left" w:pos="720"/>
              </w:tabs>
              <w:autoSpaceDE w:val="0"/>
              <w:autoSpaceDN w:val="0"/>
              <w:adjustRightInd w:val="0"/>
              <w:rPr>
                <w:bCs/>
              </w:rPr>
            </w:pPr>
            <w:r w:rsidRPr="00922F1D">
              <w:rPr>
                <w:bCs/>
              </w:rPr>
              <w:t>(CABE)</w:t>
            </w:r>
          </w:p>
        </w:tc>
      </w:tr>
      <w:tr w:rsidR="00A72CD6" w:rsidRPr="00922F1D" w14:paraId="13D64202" w14:textId="77777777" w:rsidTr="00FB1F89">
        <w:trPr>
          <w:cantSplit/>
        </w:trPr>
        <w:tc>
          <w:tcPr>
            <w:tcW w:w="1264" w:type="pct"/>
            <w:tcMar>
              <w:top w:w="72" w:type="dxa"/>
              <w:left w:w="115" w:type="dxa"/>
              <w:bottom w:w="72" w:type="dxa"/>
              <w:right w:w="115" w:type="dxa"/>
            </w:tcMar>
          </w:tcPr>
          <w:p w14:paraId="65417B58" w14:textId="77777777" w:rsidR="00A72CD6" w:rsidRPr="00922F1D" w:rsidRDefault="00A72CD6" w:rsidP="009F1F9A">
            <w:pPr>
              <w:tabs>
                <w:tab w:val="left" w:pos="720"/>
              </w:tabs>
              <w:autoSpaceDE w:val="0"/>
              <w:autoSpaceDN w:val="0"/>
              <w:adjustRightInd w:val="0"/>
              <w:rPr>
                <w:bCs/>
              </w:rPr>
            </w:pPr>
            <w:r w:rsidRPr="00922F1D">
              <w:rPr>
                <w:bCs/>
              </w:rPr>
              <w:t>Claudia Lockwood</w:t>
            </w:r>
          </w:p>
        </w:tc>
        <w:tc>
          <w:tcPr>
            <w:tcW w:w="1771" w:type="pct"/>
            <w:tcMar>
              <w:top w:w="72" w:type="dxa"/>
              <w:left w:w="115" w:type="dxa"/>
              <w:bottom w:w="72" w:type="dxa"/>
              <w:right w:w="115" w:type="dxa"/>
            </w:tcMar>
          </w:tcPr>
          <w:p w14:paraId="1C25CB64" w14:textId="77777777" w:rsidR="00A72CD6" w:rsidRPr="00922F1D" w:rsidRDefault="00A72CD6" w:rsidP="009F1F9A">
            <w:pPr>
              <w:tabs>
                <w:tab w:val="left" w:pos="720"/>
              </w:tabs>
              <w:autoSpaceDE w:val="0"/>
              <w:autoSpaceDN w:val="0"/>
              <w:adjustRightInd w:val="0"/>
              <w:rPr>
                <w:bCs/>
              </w:rPr>
            </w:pPr>
            <w:r w:rsidRPr="00922F1D">
              <w:rPr>
                <w:bCs/>
              </w:rPr>
              <w:t>Director,</w:t>
            </w:r>
          </w:p>
          <w:p w14:paraId="70F88ECC" w14:textId="77777777" w:rsidR="00A72CD6" w:rsidRPr="00922F1D" w:rsidRDefault="00A72CD6" w:rsidP="009F1F9A">
            <w:pPr>
              <w:tabs>
                <w:tab w:val="left" w:pos="720"/>
              </w:tabs>
              <w:autoSpaceDE w:val="0"/>
              <w:autoSpaceDN w:val="0"/>
              <w:adjustRightInd w:val="0"/>
              <w:rPr>
                <w:bCs/>
              </w:rPr>
            </w:pPr>
            <w:r w:rsidRPr="00922F1D">
              <w:rPr>
                <w:bCs/>
              </w:rPr>
              <w:t>Multilingual Education</w:t>
            </w:r>
          </w:p>
        </w:tc>
        <w:tc>
          <w:tcPr>
            <w:tcW w:w="1965" w:type="pct"/>
            <w:tcMar>
              <w:top w:w="72" w:type="dxa"/>
              <w:left w:w="115" w:type="dxa"/>
              <w:bottom w:w="72" w:type="dxa"/>
              <w:right w:w="115" w:type="dxa"/>
            </w:tcMar>
          </w:tcPr>
          <w:p w14:paraId="0A8B0F4A" w14:textId="77777777" w:rsidR="00A72CD6" w:rsidRPr="00922F1D" w:rsidRDefault="00A72CD6" w:rsidP="009F1F9A">
            <w:pPr>
              <w:tabs>
                <w:tab w:val="left" w:pos="720"/>
              </w:tabs>
              <w:autoSpaceDE w:val="0"/>
              <w:autoSpaceDN w:val="0"/>
              <w:adjustRightInd w:val="0"/>
              <w:rPr>
                <w:bCs/>
              </w:rPr>
            </w:pPr>
            <w:r w:rsidRPr="00922F1D">
              <w:rPr>
                <w:bCs/>
              </w:rPr>
              <w:t>San Joaquin County Office of Education</w:t>
            </w:r>
          </w:p>
        </w:tc>
      </w:tr>
      <w:tr w:rsidR="00A72CD6" w:rsidRPr="00922F1D" w14:paraId="196093B0" w14:textId="77777777" w:rsidTr="00FB1F89">
        <w:trPr>
          <w:cantSplit/>
        </w:trPr>
        <w:tc>
          <w:tcPr>
            <w:tcW w:w="1264" w:type="pct"/>
            <w:tcMar>
              <w:top w:w="72" w:type="dxa"/>
              <w:left w:w="115" w:type="dxa"/>
              <w:bottom w:w="72" w:type="dxa"/>
              <w:right w:w="115" w:type="dxa"/>
            </w:tcMar>
          </w:tcPr>
          <w:p w14:paraId="1DAEFC14" w14:textId="77777777" w:rsidR="00A72CD6" w:rsidRPr="00922F1D" w:rsidRDefault="00A72CD6" w:rsidP="009F1F9A">
            <w:pPr>
              <w:tabs>
                <w:tab w:val="left" w:pos="720"/>
              </w:tabs>
              <w:autoSpaceDE w:val="0"/>
              <w:autoSpaceDN w:val="0"/>
              <w:adjustRightInd w:val="0"/>
              <w:rPr>
                <w:bCs/>
              </w:rPr>
            </w:pPr>
            <w:r w:rsidRPr="00922F1D">
              <w:rPr>
                <w:bCs/>
              </w:rPr>
              <w:t>Teresa Márquez-López</w:t>
            </w:r>
          </w:p>
        </w:tc>
        <w:tc>
          <w:tcPr>
            <w:tcW w:w="1771" w:type="pct"/>
            <w:tcMar>
              <w:top w:w="72" w:type="dxa"/>
              <w:left w:w="115" w:type="dxa"/>
              <w:bottom w:w="72" w:type="dxa"/>
              <w:right w:w="115" w:type="dxa"/>
            </w:tcMar>
          </w:tcPr>
          <w:p w14:paraId="5D094B54" w14:textId="77777777" w:rsidR="00A72CD6" w:rsidRPr="00922F1D" w:rsidRDefault="00A72CD6" w:rsidP="009F1F9A">
            <w:pPr>
              <w:tabs>
                <w:tab w:val="left" w:pos="720"/>
              </w:tabs>
              <w:autoSpaceDE w:val="0"/>
              <w:autoSpaceDN w:val="0"/>
              <w:adjustRightInd w:val="0"/>
              <w:rPr>
                <w:bCs/>
              </w:rPr>
            </w:pPr>
            <w:r w:rsidRPr="00922F1D">
              <w:rPr>
                <w:bCs/>
              </w:rPr>
              <w:t>Academic Administrator</w:t>
            </w:r>
          </w:p>
        </w:tc>
        <w:tc>
          <w:tcPr>
            <w:tcW w:w="1965" w:type="pct"/>
            <w:tcMar>
              <w:top w:w="72" w:type="dxa"/>
              <w:left w:w="115" w:type="dxa"/>
              <w:bottom w:w="72" w:type="dxa"/>
              <w:right w:w="115" w:type="dxa"/>
            </w:tcMar>
          </w:tcPr>
          <w:p w14:paraId="489BBAF8" w14:textId="77777777" w:rsidR="00A72CD6" w:rsidRPr="00922F1D" w:rsidRDefault="00A72CD6" w:rsidP="009F1F9A">
            <w:pPr>
              <w:tabs>
                <w:tab w:val="left" w:pos="720"/>
              </w:tabs>
              <w:autoSpaceDE w:val="0"/>
              <w:autoSpaceDN w:val="0"/>
              <w:adjustRightInd w:val="0"/>
              <w:rPr>
                <w:bCs/>
              </w:rPr>
            </w:pPr>
            <w:r w:rsidRPr="00922F1D">
              <w:rPr>
                <w:bCs/>
              </w:rPr>
              <w:t>University of California, Riverside</w:t>
            </w:r>
          </w:p>
        </w:tc>
      </w:tr>
      <w:tr w:rsidR="00A72CD6" w:rsidRPr="00922F1D" w14:paraId="65587012" w14:textId="77777777" w:rsidTr="00FB1F89">
        <w:trPr>
          <w:cantSplit/>
        </w:trPr>
        <w:tc>
          <w:tcPr>
            <w:tcW w:w="1264" w:type="pct"/>
            <w:tcMar>
              <w:top w:w="72" w:type="dxa"/>
              <w:left w:w="115" w:type="dxa"/>
              <w:bottom w:w="72" w:type="dxa"/>
              <w:right w:w="115" w:type="dxa"/>
            </w:tcMar>
          </w:tcPr>
          <w:p w14:paraId="290E8761" w14:textId="77777777" w:rsidR="00A72CD6" w:rsidRPr="00922F1D" w:rsidRDefault="00A72CD6" w:rsidP="009F1F9A">
            <w:pPr>
              <w:tabs>
                <w:tab w:val="left" w:pos="720"/>
              </w:tabs>
              <w:autoSpaceDE w:val="0"/>
              <w:autoSpaceDN w:val="0"/>
              <w:adjustRightInd w:val="0"/>
              <w:rPr>
                <w:bCs/>
              </w:rPr>
            </w:pPr>
            <w:r w:rsidRPr="00922F1D">
              <w:rPr>
                <w:bCs/>
              </w:rPr>
              <w:t>George Martí</w:t>
            </w:r>
            <w:smartTag w:uri="urn:schemas-microsoft-com:office:smarttags" w:element="PersonName">
              <w:r w:rsidRPr="00922F1D">
                <w:rPr>
                  <w:bCs/>
                </w:rPr>
                <w:t>ne</w:t>
              </w:r>
            </w:smartTag>
            <w:r w:rsidRPr="00922F1D">
              <w:rPr>
                <w:bCs/>
              </w:rPr>
              <w:t>z</w:t>
            </w:r>
          </w:p>
        </w:tc>
        <w:tc>
          <w:tcPr>
            <w:tcW w:w="1771" w:type="pct"/>
            <w:tcMar>
              <w:top w:w="72" w:type="dxa"/>
              <w:left w:w="115" w:type="dxa"/>
              <w:bottom w:w="72" w:type="dxa"/>
              <w:right w:w="115" w:type="dxa"/>
            </w:tcMar>
          </w:tcPr>
          <w:p w14:paraId="2D6C4FCF" w14:textId="77777777" w:rsidR="00A72CD6" w:rsidRPr="00922F1D" w:rsidRDefault="00A72CD6" w:rsidP="009F1F9A">
            <w:pPr>
              <w:tabs>
                <w:tab w:val="left" w:pos="720"/>
              </w:tabs>
              <w:autoSpaceDE w:val="0"/>
              <w:autoSpaceDN w:val="0"/>
              <w:adjustRightInd w:val="0"/>
              <w:rPr>
                <w:bCs/>
              </w:rPr>
            </w:pPr>
            <w:r w:rsidRPr="00922F1D">
              <w:rPr>
                <w:bCs/>
              </w:rPr>
              <w:t>Teacher</w:t>
            </w:r>
          </w:p>
        </w:tc>
        <w:tc>
          <w:tcPr>
            <w:tcW w:w="1965" w:type="pct"/>
            <w:tcMar>
              <w:top w:w="72" w:type="dxa"/>
              <w:left w:w="115" w:type="dxa"/>
              <w:bottom w:w="72" w:type="dxa"/>
              <w:right w:w="115" w:type="dxa"/>
            </w:tcMar>
          </w:tcPr>
          <w:p w14:paraId="2F3E7B30" w14:textId="77777777" w:rsidR="00A72CD6" w:rsidRPr="00922F1D" w:rsidRDefault="00A72CD6" w:rsidP="009F1F9A">
            <w:pPr>
              <w:tabs>
                <w:tab w:val="left" w:pos="720"/>
              </w:tabs>
              <w:autoSpaceDE w:val="0"/>
              <w:autoSpaceDN w:val="0"/>
              <w:adjustRightInd w:val="0"/>
              <w:rPr>
                <w:bCs/>
              </w:rPr>
            </w:pPr>
            <w:r w:rsidRPr="00922F1D">
              <w:rPr>
                <w:bCs/>
              </w:rPr>
              <w:t>Santa Cruz City Schools</w:t>
            </w:r>
          </w:p>
          <w:p w14:paraId="0B08A2C1" w14:textId="77777777" w:rsidR="00A72CD6" w:rsidRPr="00922F1D" w:rsidRDefault="00A72CD6" w:rsidP="009F1F9A">
            <w:pPr>
              <w:tabs>
                <w:tab w:val="left" w:pos="720"/>
              </w:tabs>
              <w:autoSpaceDE w:val="0"/>
              <w:autoSpaceDN w:val="0"/>
              <w:adjustRightInd w:val="0"/>
              <w:rPr>
                <w:bCs/>
              </w:rPr>
            </w:pPr>
            <w:r w:rsidRPr="00922F1D">
              <w:rPr>
                <w:bCs/>
              </w:rPr>
              <w:t>California Federation of Teachers</w:t>
            </w:r>
          </w:p>
        </w:tc>
      </w:tr>
      <w:tr w:rsidR="00A72CD6" w:rsidRPr="00922F1D" w14:paraId="53107C1D" w14:textId="77777777" w:rsidTr="00FB1F89">
        <w:trPr>
          <w:cantSplit/>
        </w:trPr>
        <w:tc>
          <w:tcPr>
            <w:tcW w:w="1264" w:type="pct"/>
            <w:tcMar>
              <w:top w:w="72" w:type="dxa"/>
              <w:left w:w="115" w:type="dxa"/>
              <w:bottom w:w="72" w:type="dxa"/>
              <w:right w:w="115" w:type="dxa"/>
            </w:tcMar>
          </w:tcPr>
          <w:p w14:paraId="0CD057F5" w14:textId="77777777" w:rsidR="00A72CD6" w:rsidRPr="00922F1D" w:rsidRDefault="00A72CD6" w:rsidP="009F1F9A">
            <w:pPr>
              <w:tabs>
                <w:tab w:val="left" w:pos="720"/>
              </w:tabs>
              <w:autoSpaceDE w:val="0"/>
              <w:autoSpaceDN w:val="0"/>
              <w:adjustRightInd w:val="0"/>
              <w:rPr>
                <w:bCs/>
              </w:rPr>
            </w:pPr>
            <w:r w:rsidRPr="00922F1D">
              <w:rPr>
                <w:bCs/>
              </w:rPr>
              <w:t>Huong Tran Nguyen</w:t>
            </w:r>
          </w:p>
        </w:tc>
        <w:tc>
          <w:tcPr>
            <w:tcW w:w="1771" w:type="pct"/>
            <w:tcMar>
              <w:top w:w="72" w:type="dxa"/>
              <w:left w:w="115" w:type="dxa"/>
              <w:bottom w:w="72" w:type="dxa"/>
              <w:right w:w="115" w:type="dxa"/>
            </w:tcMar>
          </w:tcPr>
          <w:p w14:paraId="2FCAF752" w14:textId="77777777" w:rsidR="00A72CD6" w:rsidRPr="00922F1D" w:rsidRDefault="00A72CD6" w:rsidP="009F1F9A">
            <w:pPr>
              <w:tabs>
                <w:tab w:val="left" w:pos="720"/>
              </w:tabs>
              <w:autoSpaceDE w:val="0"/>
              <w:autoSpaceDN w:val="0"/>
              <w:adjustRightInd w:val="0"/>
              <w:rPr>
                <w:bCs/>
              </w:rPr>
            </w:pPr>
            <w:r w:rsidRPr="00922F1D">
              <w:rPr>
                <w:bCs/>
              </w:rPr>
              <w:t>Professor</w:t>
            </w:r>
          </w:p>
        </w:tc>
        <w:tc>
          <w:tcPr>
            <w:tcW w:w="1965" w:type="pct"/>
            <w:tcMar>
              <w:top w:w="72" w:type="dxa"/>
              <w:left w:w="115" w:type="dxa"/>
              <w:bottom w:w="72" w:type="dxa"/>
              <w:right w:w="115" w:type="dxa"/>
            </w:tcMar>
          </w:tcPr>
          <w:p w14:paraId="187EC9CD" w14:textId="77777777" w:rsidR="00A72CD6" w:rsidRPr="00922F1D" w:rsidRDefault="00A72CD6" w:rsidP="009F1F9A">
            <w:pPr>
              <w:tabs>
                <w:tab w:val="left" w:pos="720"/>
              </w:tabs>
              <w:autoSpaceDE w:val="0"/>
              <w:autoSpaceDN w:val="0"/>
              <w:adjustRightInd w:val="0"/>
              <w:rPr>
                <w:bCs/>
              </w:rPr>
            </w:pPr>
            <w:r w:rsidRPr="00922F1D">
              <w:rPr>
                <w:bCs/>
              </w:rPr>
              <w:t>California State University, Long Beach</w:t>
            </w:r>
          </w:p>
        </w:tc>
      </w:tr>
      <w:tr w:rsidR="00A72CD6" w:rsidRPr="00922F1D" w14:paraId="49AFA411" w14:textId="77777777" w:rsidTr="00FB1F89">
        <w:trPr>
          <w:cantSplit/>
        </w:trPr>
        <w:tc>
          <w:tcPr>
            <w:tcW w:w="1264" w:type="pct"/>
            <w:tcMar>
              <w:top w:w="72" w:type="dxa"/>
              <w:left w:w="115" w:type="dxa"/>
              <w:bottom w:w="72" w:type="dxa"/>
              <w:right w:w="115" w:type="dxa"/>
            </w:tcMar>
          </w:tcPr>
          <w:p w14:paraId="3A7638AE" w14:textId="77777777" w:rsidR="00A72CD6" w:rsidRPr="00922F1D" w:rsidRDefault="00A72CD6" w:rsidP="009F1F9A">
            <w:pPr>
              <w:tabs>
                <w:tab w:val="left" w:pos="720"/>
              </w:tabs>
              <w:autoSpaceDE w:val="0"/>
              <w:autoSpaceDN w:val="0"/>
              <w:adjustRightInd w:val="0"/>
              <w:rPr>
                <w:bCs/>
              </w:rPr>
            </w:pPr>
            <w:r w:rsidRPr="00922F1D">
              <w:rPr>
                <w:bCs/>
              </w:rPr>
              <w:t>Lettie Ramírez</w:t>
            </w:r>
          </w:p>
        </w:tc>
        <w:tc>
          <w:tcPr>
            <w:tcW w:w="1771" w:type="pct"/>
            <w:tcMar>
              <w:top w:w="72" w:type="dxa"/>
              <w:left w:w="115" w:type="dxa"/>
              <w:bottom w:w="72" w:type="dxa"/>
              <w:right w:w="115" w:type="dxa"/>
            </w:tcMar>
          </w:tcPr>
          <w:p w14:paraId="64694460" w14:textId="77777777" w:rsidR="00A72CD6" w:rsidRPr="00922F1D" w:rsidRDefault="00A72CD6" w:rsidP="009F1F9A">
            <w:pPr>
              <w:tabs>
                <w:tab w:val="left" w:pos="720"/>
              </w:tabs>
              <w:autoSpaceDE w:val="0"/>
              <w:autoSpaceDN w:val="0"/>
              <w:adjustRightInd w:val="0"/>
              <w:rPr>
                <w:bCs/>
              </w:rPr>
            </w:pPr>
            <w:r w:rsidRPr="00922F1D">
              <w:rPr>
                <w:bCs/>
              </w:rPr>
              <w:t>Professor</w:t>
            </w:r>
          </w:p>
        </w:tc>
        <w:tc>
          <w:tcPr>
            <w:tcW w:w="1965" w:type="pct"/>
            <w:tcMar>
              <w:top w:w="72" w:type="dxa"/>
              <w:left w:w="115" w:type="dxa"/>
              <w:bottom w:w="72" w:type="dxa"/>
              <w:right w:w="115" w:type="dxa"/>
            </w:tcMar>
          </w:tcPr>
          <w:p w14:paraId="3570F68F" w14:textId="77777777" w:rsidR="00A72CD6" w:rsidRPr="00922F1D" w:rsidRDefault="00A72CD6" w:rsidP="009F1F9A">
            <w:pPr>
              <w:tabs>
                <w:tab w:val="left" w:pos="720"/>
              </w:tabs>
              <w:autoSpaceDE w:val="0"/>
              <w:autoSpaceDN w:val="0"/>
              <w:adjustRightInd w:val="0"/>
              <w:rPr>
                <w:bCs/>
              </w:rPr>
            </w:pPr>
            <w:r w:rsidRPr="00922F1D">
              <w:rPr>
                <w:bCs/>
              </w:rPr>
              <w:t>California State University, East Bay</w:t>
            </w:r>
          </w:p>
        </w:tc>
      </w:tr>
      <w:tr w:rsidR="00A72CD6" w:rsidRPr="00922F1D" w14:paraId="6A4154DD" w14:textId="77777777" w:rsidTr="00FB1F89">
        <w:trPr>
          <w:cantSplit/>
        </w:trPr>
        <w:tc>
          <w:tcPr>
            <w:tcW w:w="1264" w:type="pct"/>
            <w:tcMar>
              <w:top w:w="72" w:type="dxa"/>
              <w:left w:w="115" w:type="dxa"/>
              <w:bottom w:w="72" w:type="dxa"/>
              <w:right w:w="115" w:type="dxa"/>
            </w:tcMar>
          </w:tcPr>
          <w:p w14:paraId="7235EB07" w14:textId="77777777" w:rsidR="00A72CD6" w:rsidRPr="00922F1D" w:rsidRDefault="00A72CD6" w:rsidP="009F1F9A">
            <w:pPr>
              <w:tabs>
                <w:tab w:val="left" w:pos="720"/>
              </w:tabs>
              <w:autoSpaceDE w:val="0"/>
              <w:autoSpaceDN w:val="0"/>
              <w:adjustRightInd w:val="0"/>
              <w:rPr>
                <w:bCs/>
              </w:rPr>
            </w:pPr>
            <w:r w:rsidRPr="00922F1D">
              <w:rPr>
                <w:bCs/>
              </w:rPr>
              <w:t>Lilia Romero</w:t>
            </w:r>
          </w:p>
        </w:tc>
        <w:tc>
          <w:tcPr>
            <w:tcW w:w="1771" w:type="pct"/>
            <w:tcMar>
              <w:top w:w="72" w:type="dxa"/>
              <w:left w:w="115" w:type="dxa"/>
              <w:bottom w:w="72" w:type="dxa"/>
              <w:right w:w="115" w:type="dxa"/>
            </w:tcMar>
          </w:tcPr>
          <w:p w14:paraId="198656FE" w14:textId="77777777" w:rsidR="00A72CD6" w:rsidRPr="00922F1D" w:rsidRDefault="00A72CD6" w:rsidP="009F1F9A">
            <w:pPr>
              <w:tabs>
                <w:tab w:val="left" w:pos="720"/>
              </w:tabs>
              <w:autoSpaceDE w:val="0"/>
              <w:autoSpaceDN w:val="0"/>
              <w:adjustRightInd w:val="0"/>
              <w:rPr>
                <w:bCs/>
              </w:rPr>
            </w:pPr>
            <w:r w:rsidRPr="00922F1D">
              <w:rPr>
                <w:bCs/>
              </w:rPr>
              <w:t xml:space="preserve">National </w:t>
            </w:r>
            <w:proofErr w:type="gramStart"/>
            <w:r w:rsidRPr="00922F1D">
              <w:rPr>
                <w:bCs/>
              </w:rPr>
              <w:t>Board Certified</w:t>
            </w:r>
            <w:proofErr w:type="gramEnd"/>
            <w:r w:rsidRPr="00922F1D">
              <w:rPr>
                <w:bCs/>
              </w:rPr>
              <w:t xml:space="preserve"> Teacher with BCLAD Authorization</w:t>
            </w:r>
          </w:p>
        </w:tc>
        <w:tc>
          <w:tcPr>
            <w:tcW w:w="1965" w:type="pct"/>
            <w:tcMar>
              <w:top w:w="72" w:type="dxa"/>
              <w:left w:w="115" w:type="dxa"/>
              <w:bottom w:w="72" w:type="dxa"/>
              <w:right w:w="115" w:type="dxa"/>
            </w:tcMar>
          </w:tcPr>
          <w:p w14:paraId="51C41408" w14:textId="77777777" w:rsidR="00A72CD6" w:rsidRPr="00922F1D" w:rsidRDefault="00A72CD6" w:rsidP="009F1F9A">
            <w:pPr>
              <w:tabs>
                <w:tab w:val="left" w:pos="720"/>
              </w:tabs>
              <w:autoSpaceDE w:val="0"/>
              <w:autoSpaceDN w:val="0"/>
              <w:adjustRightInd w:val="0"/>
              <w:rPr>
                <w:bCs/>
              </w:rPr>
            </w:pPr>
            <w:r w:rsidRPr="00922F1D">
              <w:rPr>
                <w:bCs/>
              </w:rPr>
              <w:t>Pasadena Unified School District</w:t>
            </w:r>
          </w:p>
        </w:tc>
      </w:tr>
      <w:tr w:rsidR="00A72CD6" w:rsidRPr="00922F1D" w14:paraId="731258EC" w14:textId="77777777" w:rsidTr="00FB1F89">
        <w:trPr>
          <w:cantSplit/>
        </w:trPr>
        <w:tc>
          <w:tcPr>
            <w:tcW w:w="1264" w:type="pct"/>
            <w:tcMar>
              <w:top w:w="72" w:type="dxa"/>
              <w:left w:w="115" w:type="dxa"/>
              <w:bottom w:w="72" w:type="dxa"/>
              <w:right w:w="115" w:type="dxa"/>
            </w:tcMar>
          </w:tcPr>
          <w:p w14:paraId="676199F2" w14:textId="77777777" w:rsidR="00A72CD6" w:rsidRPr="00922F1D" w:rsidRDefault="00A72CD6" w:rsidP="009F1F9A">
            <w:pPr>
              <w:tabs>
                <w:tab w:val="left" w:pos="720"/>
              </w:tabs>
              <w:autoSpaceDE w:val="0"/>
              <w:autoSpaceDN w:val="0"/>
              <w:adjustRightInd w:val="0"/>
              <w:rPr>
                <w:bCs/>
              </w:rPr>
            </w:pPr>
            <w:r w:rsidRPr="00922F1D">
              <w:rPr>
                <w:bCs/>
              </w:rPr>
              <w:t>Alexander Sapiens</w:t>
            </w:r>
          </w:p>
        </w:tc>
        <w:tc>
          <w:tcPr>
            <w:tcW w:w="1771" w:type="pct"/>
            <w:tcMar>
              <w:top w:w="72" w:type="dxa"/>
              <w:left w:w="115" w:type="dxa"/>
              <w:bottom w:w="72" w:type="dxa"/>
              <w:right w:w="115" w:type="dxa"/>
            </w:tcMar>
          </w:tcPr>
          <w:p w14:paraId="265BB5D4" w14:textId="77777777" w:rsidR="00A72CD6" w:rsidRPr="00922F1D" w:rsidRDefault="00A72CD6" w:rsidP="009F1F9A">
            <w:pPr>
              <w:tabs>
                <w:tab w:val="left" w:pos="720"/>
              </w:tabs>
              <w:autoSpaceDE w:val="0"/>
              <w:autoSpaceDN w:val="0"/>
              <w:adjustRightInd w:val="0"/>
              <w:rPr>
                <w:bCs/>
              </w:rPr>
            </w:pPr>
            <w:r w:rsidRPr="00922F1D">
              <w:rPr>
                <w:bCs/>
              </w:rPr>
              <w:t>Professor</w:t>
            </w:r>
          </w:p>
        </w:tc>
        <w:tc>
          <w:tcPr>
            <w:tcW w:w="1965" w:type="pct"/>
            <w:tcMar>
              <w:top w:w="72" w:type="dxa"/>
              <w:left w:w="115" w:type="dxa"/>
              <w:bottom w:w="72" w:type="dxa"/>
              <w:right w:w="115" w:type="dxa"/>
            </w:tcMar>
          </w:tcPr>
          <w:p w14:paraId="275B427C" w14:textId="77777777" w:rsidR="00A72CD6" w:rsidRPr="00922F1D" w:rsidRDefault="00A72CD6" w:rsidP="009F1F9A">
            <w:pPr>
              <w:tabs>
                <w:tab w:val="left" w:pos="720"/>
              </w:tabs>
              <w:autoSpaceDE w:val="0"/>
              <w:autoSpaceDN w:val="0"/>
              <w:adjustRightInd w:val="0"/>
              <w:rPr>
                <w:bCs/>
              </w:rPr>
            </w:pPr>
            <w:r w:rsidRPr="00922F1D">
              <w:rPr>
                <w:bCs/>
              </w:rPr>
              <w:t>San Jose State University</w:t>
            </w:r>
          </w:p>
        </w:tc>
      </w:tr>
      <w:tr w:rsidR="00A72CD6" w:rsidRPr="00922F1D" w14:paraId="3AE27D51" w14:textId="77777777" w:rsidTr="00FB1F89">
        <w:trPr>
          <w:cantSplit/>
        </w:trPr>
        <w:tc>
          <w:tcPr>
            <w:tcW w:w="1264" w:type="pct"/>
            <w:tcMar>
              <w:top w:w="72" w:type="dxa"/>
              <w:left w:w="115" w:type="dxa"/>
              <w:bottom w:w="72" w:type="dxa"/>
              <w:right w:w="115" w:type="dxa"/>
            </w:tcMar>
          </w:tcPr>
          <w:p w14:paraId="21EA59AF" w14:textId="77777777" w:rsidR="00A72CD6" w:rsidRPr="00922F1D" w:rsidRDefault="00A72CD6" w:rsidP="009F1F9A">
            <w:pPr>
              <w:tabs>
                <w:tab w:val="left" w:pos="720"/>
              </w:tabs>
              <w:autoSpaceDE w:val="0"/>
              <w:autoSpaceDN w:val="0"/>
              <w:adjustRightInd w:val="0"/>
              <w:rPr>
                <w:bCs/>
              </w:rPr>
            </w:pPr>
            <w:r w:rsidRPr="00922F1D">
              <w:rPr>
                <w:bCs/>
              </w:rPr>
              <w:t>Gay Q. Yuen</w:t>
            </w:r>
          </w:p>
        </w:tc>
        <w:tc>
          <w:tcPr>
            <w:tcW w:w="1771" w:type="pct"/>
            <w:tcMar>
              <w:top w:w="72" w:type="dxa"/>
              <w:left w:w="115" w:type="dxa"/>
              <w:bottom w:w="72" w:type="dxa"/>
              <w:right w:w="115" w:type="dxa"/>
            </w:tcMar>
          </w:tcPr>
          <w:p w14:paraId="367F6378" w14:textId="77777777" w:rsidR="00A72CD6" w:rsidRPr="00922F1D" w:rsidRDefault="00A72CD6" w:rsidP="009F1F9A">
            <w:pPr>
              <w:tabs>
                <w:tab w:val="left" w:pos="720"/>
              </w:tabs>
              <w:autoSpaceDE w:val="0"/>
              <w:autoSpaceDN w:val="0"/>
              <w:adjustRightInd w:val="0"/>
              <w:rPr>
                <w:bCs/>
              </w:rPr>
            </w:pPr>
            <w:r w:rsidRPr="00922F1D">
              <w:rPr>
                <w:bCs/>
              </w:rPr>
              <w:t>Professor</w:t>
            </w:r>
          </w:p>
        </w:tc>
        <w:tc>
          <w:tcPr>
            <w:tcW w:w="1965" w:type="pct"/>
            <w:tcMar>
              <w:top w:w="72" w:type="dxa"/>
              <w:left w:w="115" w:type="dxa"/>
              <w:bottom w:w="72" w:type="dxa"/>
              <w:right w:w="115" w:type="dxa"/>
            </w:tcMar>
          </w:tcPr>
          <w:p w14:paraId="5017C4B7" w14:textId="77777777" w:rsidR="00A72CD6" w:rsidRPr="00922F1D" w:rsidRDefault="00A72CD6" w:rsidP="009F1F9A">
            <w:pPr>
              <w:tabs>
                <w:tab w:val="left" w:pos="720"/>
              </w:tabs>
              <w:autoSpaceDE w:val="0"/>
              <w:autoSpaceDN w:val="0"/>
              <w:adjustRightInd w:val="0"/>
              <w:rPr>
                <w:bCs/>
              </w:rPr>
            </w:pPr>
            <w:r w:rsidRPr="00922F1D">
              <w:rPr>
                <w:bCs/>
              </w:rPr>
              <w:t>California State University, Los Angeles</w:t>
            </w:r>
          </w:p>
        </w:tc>
      </w:tr>
      <w:tr w:rsidR="00A72CD6" w:rsidRPr="00922F1D" w14:paraId="7891DF2C" w14:textId="77777777" w:rsidTr="00FB1F89">
        <w:trPr>
          <w:cantSplit/>
        </w:trPr>
        <w:tc>
          <w:tcPr>
            <w:tcW w:w="1264" w:type="pct"/>
            <w:tcMar>
              <w:top w:w="72" w:type="dxa"/>
              <w:left w:w="115" w:type="dxa"/>
              <w:bottom w:w="72" w:type="dxa"/>
              <w:right w:w="115" w:type="dxa"/>
            </w:tcMar>
          </w:tcPr>
          <w:p w14:paraId="1DEE684A" w14:textId="6B9A99CC" w:rsidR="00A72CD6" w:rsidRPr="00922F1D" w:rsidRDefault="00FB1F89" w:rsidP="009F1F9A">
            <w:pPr>
              <w:tabs>
                <w:tab w:val="left" w:pos="720"/>
              </w:tabs>
              <w:autoSpaceDE w:val="0"/>
              <w:autoSpaceDN w:val="0"/>
              <w:adjustRightInd w:val="0"/>
              <w:rPr>
                <w:bCs/>
              </w:rPr>
            </w:pPr>
            <w:r>
              <w:rPr>
                <w:bCs/>
              </w:rPr>
              <w:t xml:space="preserve"> </w:t>
            </w:r>
            <w:r w:rsidR="00A72CD6" w:rsidRPr="00922F1D">
              <w:rPr>
                <w:bCs/>
              </w:rPr>
              <w:t xml:space="preserve">Charles G. </w:t>
            </w:r>
            <w:proofErr w:type="spellStart"/>
            <w:r w:rsidR="00A72CD6" w:rsidRPr="00922F1D">
              <w:rPr>
                <w:bCs/>
              </w:rPr>
              <w:t>Zartman</w:t>
            </w:r>
            <w:proofErr w:type="spellEnd"/>
            <w:r w:rsidR="00A72CD6" w:rsidRPr="00922F1D">
              <w:rPr>
                <w:bCs/>
              </w:rPr>
              <w:t>, Jr.</w:t>
            </w:r>
          </w:p>
          <w:p w14:paraId="5E23ACE2" w14:textId="250B0599" w:rsidR="00A72CD6" w:rsidRPr="00922F1D" w:rsidRDefault="00FB1F89" w:rsidP="009F1F9A">
            <w:pPr>
              <w:tabs>
                <w:tab w:val="left" w:pos="720"/>
              </w:tabs>
              <w:autoSpaceDE w:val="0"/>
              <w:autoSpaceDN w:val="0"/>
              <w:adjustRightInd w:val="0"/>
              <w:rPr>
                <w:bCs/>
              </w:rPr>
            </w:pPr>
            <w:r>
              <w:rPr>
                <w:bCs/>
              </w:rPr>
              <w:t xml:space="preserve"> </w:t>
            </w:r>
            <w:r w:rsidR="00A72CD6" w:rsidRPr="00922F1D">
              <w:rPr>
                <w:bCs/>
              </w:rPr>
              <w:t>Chair</w:t>
            </w:r>
          </w:p>
        </w:tc>
        <w:tc>
          <w:tcPr>
            <w:tcW w:w="1771" w:type="pct"/>
            <w:tcMar>
              <w:top w:w="72" w:type="dxa"/>
              <w:left w:w="115" w:type="dxa"/>
              <w:bottom w:w="72" w:type="dxa"/>
              <w:right w:w="115" w:type="dxa"/>
            </w:tcMar>
          </w:tcPr>
          <w:p w14:paraId="19AC3751" w14:textId="77777777" w:rsidR="00A72CD6" w:rsidRPr="00922F1D" w:rsidRDefault="00A72CD6" w:rsidP="009F1F9A">
            <w:pPr>
              <w:tabs>
                <w:tab w:val="left" w:pos="720"/>
              </w:tabs>
              <w:autoSpaceDE w:val="0"/>
              <w:autoSpaceDN w:val="0"/>
              <w:adjustRightInd w:val="0"/>
              <w:rPr>
                <w:bCs/>
              </w:rPr>
            </w:pPr>
            <w:r w:rsidRPr="00922F1D">
              <w:rPr>
                <w:bCs/>
              </w:rPr>
              <w:t>Professor</w:t>
            </w:r>
          </w:p>
        </w:tc>
        <w:tc>
          <w:tcPr>
            <w:tcW w:w="1965" w:type="pct"/>
            <w:tcMar>
              <w:top w:w="72" w:type="dxa"/>
              <w:left w:w="115" w:type="dxa"/>
              <w:bottom w:w="72" w:type="dxa"/>
              <w:right w:w="115" w:type="dxa"/>
            </w:tcMar>
          </w:tcPr>
          <w:p w14:paraId="7ED2D066" w14:textId="77777777" w:rsidR="00A72CD6" w:rsidRPr="00922F1D" w:rsidRDefault="00A72CD6" w:rsidP="009F1F9A">
            <w:pPr>
              <w:tabs>
                <w:tab w:val="left" w:pos="720"/>
              </w:tabs>
              <w:autoSpaceDE w:val="0"/>
              <w:autoSpaceDN w:val="0"/>
              <w:adjustRightInd w:val="0"/>
              <w:rPr>
                <w:bCs/>
              </w:rPr>
            </w:pPr>
            <w:r w:rsidRPr="00922F1D">
              <w:rPr>
                <w:bCs/>
              </w:rPr>
              <w:t>California State University, Chico</w:t>
            </w:r>
          </w:p>
        </w:tc>
      </w:tr>
    </w:tbl>
    <w:p w14:paraId="0F2BA096" w14:textId="77777777" w:rsidR="00A72CD6" w:rsidRDefault="00A72CD6" w:rsidP="00FB1F89">
      <w:pPr>
        <w:tabs>
          <w:tab w:val="left" w:pos="6300"/>
        </w:tabs>
        <w:spacing w:line="480" w:lineRule="atLeast"/>
        <w:ind w:right="-440"/>
      </w:pPr>
      <w:r>
        <w:lastRenderedPageBreak/>
        <w:t>Commission Consultant to the Advisory Panel:</w:t>
      </w:r>
      <w:r>
        <w:tab/>
        <w:t xml:space="preserve">Jo </w:t>
      </w:r>
      <w:proofErr w:type="spellStart"/>
      <w:r>
        <w:t>Birdsell</w:t>
      </w:r>
      <w:proofErr w:type="spellEnd"/>
    </w:p>
    <w:p w14:paraId="17BC48E0" w14:textId="77777777" w:rsidR="00A72CD6" w:rsidRDefault="00A72CD6" w:rsidP="00F17541">
      <w:pPr>
        <w:tabs>
          <w:tab w:val="left" w:pos="6300"/>
        </w:tabs>
        <w:spacing w:line="360" w:lineRule="atLeast"/>
      </w:pPr>
      <w:r>
        <w:t>California Department of Education Liaison to the Panel:</w:t>
      </w:r>
      <w:r>
        <w:tab/>
        <w:t>Paula Jacobs</w:t>
      </w:r>
    </w:p>
    <w:p w14:paraId="2D447D90" w14:textId="77777777" w:rsidR="003507BB" w:rsidRDefault="00A72CD6" w:rsidP="00F17541">
      <w:pPr>
        <w:tabs>
          <w:tab w:val="left" w:pos="6300"/>
        </w:tabs>
        <w:spacing w:line="360" w:lineRule="atLeast"/>
        <w:sectPr w:rsidR="003507BB" w:rsidSect="003507BB">
          <w:footerReference w:type="default" r:id="rId18"/>
          <w:footnotePr>
            <w:numStart w:val="0"/>
          </w:footnotePr>
          <w:pgSz w:w="12240" w:h="15840" w:code="1"/>
          <w:pgMar w:top="1440" w:right="1440" w:bottom="1440" w:left="1440" w:header="720" w:footer="720" w:gutter="0"/>
          <w:pgNumType w:fmt="lowerRoman" w:start="1"/>
          <w:cols w:space="0"/>
        </w:sectPr>
      </w:pPr>
      <w:r>
        <w:t>Commission Assistants to the Advisory Panel:</w:t>
      </w:r>
      <w:r>
        <w:tab/>
        <w:t>Lori Gonzales</w:t>
      </w:r>
      <w:r w:rsidR="00922F1D">
        <w:t xml:space="preserve">, </w:t>
      </w:r>
      <w:r w:rsidR="003507BB">
        <w:t>Benjamin Pop</w:t>
      </w:r>
    </w:p>
    <w:p w14:paraId="3791BC07" w14:textId="77777777" w:rsidR="00A72CD6" w:rsidRPr="006A77A0" w:rsidRDefault="00A72CD6" w:rsidP="003507BB"/>
    <w:sdt>
      <w:sdtPr>
        <w:id w:val="1608857121"/>
        <w:docPartObj>
          <w:docPartGallery w:val="Table of Contents"/>
          <w:docPartUnique/>
        </w:docPartObj>
      </w:sdtPr>
      <w:sdtEndPr>
        <w:rPr>
          <w:rFonts w:ascii="Times New Roman" w:eastAsia="Times New Roman" w:hAnsi="Times New Roman"/>
          <w:noProof/>
          <w:color w:val="auto"/>
          <w:sz w:val="24"/>
          <w:szCs w:val="24"/>
          <w:lang w:eastAsia="en-US"/>
        </w:rPr>
      </w:sdtEndPr>
      <w:sdtContent>
        <w:p w14:paraId="0E8E7EF1" w14:textId="11ACDEFC" w:rsidR="00C56045" w:rsidRDefault="00C56045">
          <w:pPr>
            <w:pStyle w:val="TOCHeading"/>
          </w:pPr>
          <w:r>
            <w:t>Table of Contents</w:t>
          </w:r>
        </w:p>
        <w:p w14:paraId="39292438" w14:textId="24AB2D3D" w:rsidR="00FB385F" w:rsidRDefault="00C56045">
          <w:pPr>
            <w:pStyle w:val="TOC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hyperlink w:anchor="_Toc135655543" w:history="1">
            <w:r w:rsidR="00FB385F" w:rsidRPr="00F81311">
              <w:rPr>
                <w:rStyle w:val="Hyperlink"/>
              </w:rPr>
              <w:t>Standards of Quality and Effectiveness for Programs Leading to Bilingual Authorization</w:t>
            </w:r>
            <w:r w:rsidR="00FB385F">
              <w:rPr>
                <w:webHidden/>
              </w:rPr>
              <w:tab/>
            </w:r>
            <w:r w:rsidR="00FB385F">
              <w:rPr>
                <w:webHidden/>
              </w:rPr>
              <w:fldChar w:fldCharType="begin"/>
            </w:r>
            <w:r w:rsidR="00FB385F">
              <w:rPr>
                <w:webHidden/>
              </w:rPr>
              <w:instrText xml:space="preserve"> PAGEREF _Toc135655543 \h </w:instrText>
            </w:r>
            <w:r w:rsidR="00FB385F">
              <w:rPr>
                <w:webHidden/>
              </w:rPr>
            </w:r>
            <w:r w:rsidR="00FB385F">
              <w:rPr>
                <w:webHidden/>
              </w:rPr>
              <w:fldChar w:fldCharType="separate"/>
            </w:r>
            <w:r w:rsidR="00652E55">
              <w:rPr>
                <w:webHidden/>
              </w:rPr>
              <w:t>1</w:t>
            </w:r>
            <w:r w:rsidR="00FB385F">
              <w:rPr>
                <w:webHidden/>
              </w:rPr>
              <w:fldChar w:fldCharType="end"/>
            </w:r>
          </w:hyperlink>
        </w:p>
        <w:p w14:paraId="7A5F5973" w14:textId="7B39414A" w:rsidR="00FB385F" w:rsidRDefault="00FB385F">
          <w:pPr>
            <w:pStyle w:val="TOC2"/>
            <w:rPr>
              <w:rFonts w:asciiTheme="minorHAnsi" w:eastAsiaTheme="minorEastAsia" w:hAnsiTheme="minorHAnsi" w:cstheme="minorBidi"/>
              <w:kern w:val="2"/>
              <w:sz w:val="22"/>
              <w:szCs w:val="22"/>
              <w14:ligatures w14:val="standardContextual"/>
            </w:rPr>
          </w:pPr>
          <w:hyperlink w:anchor="_Toc135655544" w:history="1">
            <w:r w:rsidRPr="00F81311">
              <w:rPr>
                <w:rStyle w:val="Hyperlink"/>
              </w:rPr>
              <w:t>Members of the Commission</w:t>
            </w:r>
            <w:r>
              <w:rPr>
                <w:webHidden/>
              </w:rPr>
              <w:tab/>
            </w:r>
            <w:r>
              <w:rPr>
                <w:webHidden/>
              </w:rPr>
              <w:fldChar w:fldCharType="begin"/>
            </w:r>
            <w:r>
              <w:rPr>
                <w:webHidden/>
              </w:rPr>
              <w:instrText xml:space="preserve"> PAGEREF _Toc135655544 \h </w:instrText>
            </w:r>
            <w:r>
              <w:rPr>
                <w:webHidden/>
              </w:rPr>
            </w:r>
            <w:r>
              <w:rPr>
                <w:webHidden/>
              </w:rPr>
              <w:fldChar w:fldCharType="separate"/>
            </w:r>
            <w:r w:rsidR="00652E55">
              <w:rPr>
                <w:webHidden/>
              </w:rPr>
              <w:t>i</w:t>
            </w:r>
            <w:r>
              <w:rPr>
                <w:webHidden/>
              </w:rPr>
              <w:fldChar w:fldCharType="end"/>
            </w:r>
          </w:hyperlink>
        </w:p>
        <w:p w14:paraId="36F77A34" w14:textId="09738A05" w:rsidR="00FB385F" w:rsidRDefault="00FB385F">
          <w:pPr>
            <w:pStyle w:val="TOC2"/>
            <w:rPr>
              <w:rFonts w:asciiTheme="minorHAnsi" w:eastAsiaTheme="minorEastAsia" w:hAnsiTheme="minorHAnsi" w:cstheme="minorBidi"/>
              <w:kern w:val="2"/>
              <w:sz w:val="22"/>
              <w:szCs w:val="22"/>
              <w14:ligatures w14:val="standardContextual"/>
            </w:rPr>
          </w:pPr>
          <w:hyperlink w:anchor="_Toc135655545" w:history="1">
            <w:r w:rsidRPr="00F81311">
              <w:rPr>
                <w:rStyle w:val="Hyperlink"/>
              </w:rPr>
              <w:t>Ex Officio Representatives</w:t>
            </w:r>
            <w:r>
              <w:rPr>
                <w:webHidden/>
              </w:rPr>
              <w:tab/>
            </w:r>
            <w:r>
              <w:rPr>
                <w:webHidden/>
              </w:rPr>
              <w:fldChar w:fldCharType="begin"/>
            </w:r>
            <w:r>
              <w:rPr>
                <w:webHidden/>
              </w:rPr>
              <w:instrText xml:space="preserve"> PAGEREF _Toc135655545 \h </w:instrText>
            </w:r>
            <w:r>
              <w:rPr>
                <w:webHidden/>
              </w:rPr>
            </w:r>
            <w:r>
              <w:rPr>
                <w:webHidden/>
              </w:rPr>
              <w:fldChar w:fldCharType="separate"/>
            </w:r>
            <w:r w:rsidR="00652E55">
              <w:rPr>
                <w:webHidden/>
              </w:rPr>
              <w:t>i</w:t>
            </w:r>
            <w:r>
              <w:rPr>
                <w:webHidden/>
              </w:rPr>
              <w:fldChar w:fldCharType="end"/>
            </w:r>
          </w:hyperlink>
        </w:p>
        <w:p w14:paraId="4F17E63F" w14:textId="1CE84CF2" w:rsidR="00FB385F" w:rsidRDefault="00FB385F">
          <w:pPr>
            <w:pStyle w:val="TOC2"/>
            <w:rPr>
              <w:rFonts w:asciiTheme="minorHAnsi" w:eastAsiaTheme="minorEastAsia" w:hAnsiTheme="minorHAnsi" w:cstheme="minorBidi"/>
              <w:kern w:val="2"/>
              <w:sz w:val="22"/>
              <w:szCs w:val="22"/>
              <w14:ligatures w14:val="standardContextual"/>
            </w:rPr>
          </w:pPr>
          <w:hyperlink w:anchor="_Toc135655546" w:history="1">
            <w:r w:rsidRPr="00F81311">
              <w:rPr>
                <w:rStyle w:val="Hyperlink"/>
              </w:rPr>
              <w:t>Executive Officer</w:t>
            </w:r>
            <w:r>
              <w:rPr>
                <w:webHidden/>
              </w:rPr>
              <w:tab/>
            </w:r>
            <w:r>
              <w:rPr>
                <w:webHidden/>
              </w:rPr>
              <w:fldChar w:fldCharType="begin"/>
            </w:r>
            <w:r>
              <w:rPr>
                <w:webHidden/>
              </w:rPr>
              <w:instrText xml:space="preserve"> PAGEREF _Toc135655546 \h </w:instrText>
            </w:r>
            <w:r>
              <w:rPr>
                <w:webHidden/>
              </w:rPr>
            </w:r>
            <w:r>
              <w:rPr>
                <w:webHidden/>
              </w:rPr>
              <w:fldChar w:fldCharType="separate"/>
            </w:r>
            <w:r w:rsidR="00652E55">
              <w:rPr>
                <w:webHidden/>
              </w:rPr>
              <w:t>i</w:t>
            </w:r>
            <w:r>
              <w:rPr>
                <w:webHidden/>
              </w:rPr>
              <w:fldChar w:fldCharType="end"/>
            </w:r>
          </w:hyperlink>
        </w:p>
        <w:p w14:paraId="62E8D20E" w14:textId="2A08F2BB" w:rsidR="00FB385F" w:rsidRDefault="00FB385F">
          <w:pPr>
            <w:pStyle w:val="TOC2"/>
            <w:rPr>
              <w:rFonts w:asciiTheme="minorHAnsi" w:eastAsiaTheme="minorEastAsia" w:hAnsiTheme="minorHAnsi" w:cstheme="minorBidi"/>
              <w:kern w:val="2"/>
              <w:sz w:val="22"/>
              <w:szCs w:val="22"/>
              <w14:ligatures w14:val="standardContextual"/>
            </w:rPr>
          </w:pPr>
          <w:hyperlink w:anchor="_Toc135655547" w:history="1">
            <w:r w:rsidRPr="00F81311">
              <w:rPr>
                <w:rStyle w:val="Hyperlink"/>
              </w:rPr>
              <w:t>The Bilingual Certification Design Team</w:t>
            </w:r>
            <w:r>
              <w:rPr>
                <w:webHidden/>
              </w:rPr>
              <w:tab/>
            </w:r>
            <w:r>
              <w:rPr>
                <w:webHidden/>
              </w:rPr>
              <w:fldChar w:fldCharType="begin"/>
            </w:r>
            <w:r>
              <w:rPr>
                <w:webHidden/>
              </w:rPr>
              <w:instrText xml:space="preserve"> PAGEREF _Toc135655547 \h </w:instrText>
            </w:r>
            <w:r>
              <w:rPr>
                <w:webHidden/>
              </w:rPr>
            </w:r>
            <w:r>
              <w:rPr>
                <w:webHidden/>
              </w:rPr>
              <w:fldChar w:fldCharType="separate"/>
            </w:r>
            <w:r w:rsidR="00652E55">
              <w:rPr>
                <w:webHidden/>
              </w:rPr>
              <w:t>ii</w:t>
            </w:r>
            <w:r>
              <w:rPr>
                <w:webHidden/>
              </w:rPr>
              <w:fldChar w:fldCharType="end"/>
            </w:r>
          </w:hyperlink>
        </w:p>
        <w:p w14:paraId="18CF54C1" w14:textId="310D424A" w:rsidR="00FB385F" w:rsidRDefault="00FB385F">
          <w:pPr>
            <w:pStyle w:val="TOC2"/>
            <w:rPr>
              <w:rFonts w:asciiTheme="minorHAnsi" w:eastAsiaTheme="minorEastAsia" w:hAnsiTheme="minorHAnsi" w:cstheme="minorBidi"/>
              <w:kern w:val="2"/>
              <w:sz w:val="22"/>
              <w:szCs w:val="22"/>
              <w14:ligatures w14:val="standardContextual"/>
            </w:rPr>
          </w:pPr>
          <w:hyperlink w:anchor="_Toc135655548" w:history="1">
            <w:r w:rsidRPr="00F81311">
              <w:rPr>
                <w:rStyle w:val="Hyperlink"/>
              </w:rPr>
              <w:t>Introduction</w:t>
            </w:r>
            <w:r>
              <w:rPr>
                <w:webHidden/>
              </w:rPr>
              <w:tab/>
            </w:r>
            <w:r>
              <w:rPr>
                <w:webHidden/>
              </w:rPr>
              <w:fldChar w:fldCharType="begin"/>
            </w:r>
            <w:r>
              <w:rPr>
                <w:webHidden/>
              </w:rPr>
              <w:instrText xml:space="preserve"> PAGEREF _Toc135655548 \h </w:instrText>
            </w:r>
            <w:r>
              <w:rPr>
                <w:webHidden/>
              </w:rPr>
            </w:r>
            <w:r>
              <w:rPr>
                <w:webHidden/>
              </w:rPr>
              <w:fldChar w:fldCharType="separate"/>
            </w:r>
            <w:r w:rsidR="00652E55">
              <w:rPr>
                <w:webHidden/>
              </w:rPr>
              <w:t>2</w:t>
            </w:r>
            <w:r>
              <w:rPr>
                <w:webHidden/>
              </w:rPr>
              <w:fldChar w:fldCharType="end"/>
            </w:r>
          </w:hyperlink>
        </w:p>
        <w:p w14:paraId="64F338A4" w14:textId="07A11ACB" w:rsidR="00FB385F" w:rsidRDefault="00FB385F">
          <w:pPr>
            <w:pStyle w:val="TOC2"/>
            <w:rPr>
              <w:rFonts w:asciiTheme="minorHAnsi" w:eastAsiaTheme="minorEastAsia" w:hAnsiTheme="minorHAnsi" w:cstheme="minorBidi"/>
              <w:kern w:val="2"/>
              <w:sz w:val="22"/>
              <w:szCs w:val="22"/>
              <w14:ligatures w14:val="standardContextual"/>
            </w:rPr>
          </w:pPr>
          <w:hyperlink w:anchor="_Toc135655549" w:history="1">
            <w:r w:rsidRPr="00F81311">
              <w:rPr>
                <w:rStyle w:val="Hyperlink"/>
              </w:rPr>
              <w:t>Adoption and Implementation of the Bilingual Program Standards</w:t>
            </w:r>
            <w:r>
              <w:rPr>
                <w:webHidden/>
              </w:rPr>
              <w:tab/>
            </w:r>
            <w:r>
              <w:rPr>
                <w:webHidden/>
              </w:rPr>
              <w:fldChar w:fldCharType="begin"/>
            </w:r>
            <w:r>
              <w:rPr>
                <w:webHidden/>
              </w:rPr>
              <w:instrText xml:space="preserve"> PAGEREF _Toc135655549 \h </w:instrText>
            </w:r>
            <w:r>
              <w:rPr>
                <w:webHidden/>
              </w:rPr>
            </w:r>
            <w:r>
              <w:rPr>
                <w:webHidden/>
              </w:rPr>
              <w:fldChar w:fldCharType="separate"/>
            </w:r>
            <w:r w:rsidR="00652E55">
              <w:rPr>
                <w:webHidden/>
              </w:rPr>
              <w:t>2</w:t>
            </w:r>
            <w:r>
              <w:rPr>
                <w:webHidden/>
              </w:rPr>
              <w:fldChar w:fldCharType="end"/>
            </w:r>
          </w:hyperlink>
        </w:p>
        <w:p w14:paraId="61D0E52F" w14:textId="34BE213B" w:rsidR="00FB385F" w:rsidRDefault="00FB385F">
          <w:pPr>
            <w:pStyle w:val="TOC2"/>
            <w:rPr>
              <w:rFonts w:asciiTheme="minorHAnsi" w:eastAsiaTheme="minorEastAsia" w:hAnsiTheme="minorHAnsi" w:cstheme="minorBidi"/>
              <w:kern w:val="2"/>
              <w:sz w:val="22"/>
              <w:szCs w:val="22"/>
              <w14:ligatures w14:val="standardContextual"/>
            </w:rPr>
          </w:pPr>
          <w:hyperlink w:anchor="_Toc135655550" w:history="1">
            <w:r w:rsidRPr="00F81311">
              <w:rPr>
                <w:rStyle w:val="Hyperlink"/>
              </w:rPr>
              <w:t xml:space="preserve">Section 1:  Standards of Quality and Effectiveness - </w:t>
            </w:r>
            <w:r w:rsidRPr="00F81311">
              <w:rPr>
                <w:rStyle w:val="Hyperlink"/>
                <w:i/>
              </w:rPr>
              <w:t>Preconditions, Common Standards and Program Standards</w:t>
            </w:r>
            <w:r>
              <w:rPr>
                <w:webHidden/>
              </w:rPr>
              <w:tab/>
            </w:r>
            <w:r>
              <w:rPr>
                <w:webHidden/>
              </w:rPr>
              <w:fldChar w:fldCharType="begin"/>
            </w:r>
            <w:r>
              <w:rPr>
                <w:webHidden/>
              </w:rPr>
              <w:instrText xml:space="preserve"> PAGEREF _Toc135655550 \h </w:instrText>
            </w:r>
            <w:r>
              <w:rPr>
                <w:webHidden/>
              </w:rPr>
            </w:r>
            <w:r>
              <w:rPr>
                <w:webHidden/>
              </w:rPr>
              <w:fldChar w:fldCharType="separate"/>
            </w:r>
            <w:r w:rsidR="00652E55">
              <w:rPr>
                <w:webHidden/>
              </w:rPr>
              <w:t>4</w:t>
            </w:r>
            <w:r>
              <w:rPr>
                <w:webHidden/>
              </w:rPr>
              <w:fldChar w:fldCharType="end"/>
            </w:r>
          </w:hyperlink>
        </w:p>
        <w:p w14:paraId="25F534B6" w14:textId="1228567E" w:rsidR="00FB385F" w:rsidRDefault="00FB385F">
          <w:pPr>
            <w:pStyle w:val="TOC2"/>
            <w:rPr>
              <w:rFonts w:asciiTheme="minorHAnsi" w:eastAsiaTheme="minorEastAsia" w:hAnsiTheme="minorHAnsi" w:cstheme="minorBidi"/>
              <w:kern w:val="2"/>
              <w:sz w:val="22"/>
              <w:szCs w:val="22"/>
              <w14:ligatures w14:val="standardContextual"/>
            </w:rPr>
          </w:pPr>
          <w:hyperlink w:anchor="_Toc135655551" w:history="1">
            <w:r w:rsidRPr="00F81311">
              <w:rPr>
                <w:rStyle w:val="Hyperlink"/>
              </w:rPr>
              <w:t>Section 2:  Conceptual Framework for Preparing California’s Bilingual Teachers</w:t>
            </w:r>
            <w:r>
              <w:rPr>
                <w:webHidden/>
              </w:rPr>
              <w:tab/>
            </w:r>
            <w:r>
              <w:rPr>
                <w:webHidden/>
              </w:rPr>
              <w:fldChar w:fldCharType="begin"/>
            </w:r>
            <w:r>
              <w:rPr>
                <w:webHidden/>
              </w:rPr>
              <w:instrText xml:space="preserve"> PAGEREF _Toc135655551 \h </w:instrText>
            </w:r>
            <w:r>
              <w:rPr>
                <w:webHidden/>
              </w:rPr>
            </w:r>
            <w:r>
              <w:rPr>
                <w:webHidden/>
              </w:rPr>
              <w:fldChar w:fldCharType="separate"/>
            </w:r>
            <w:r w:rsidR="00652E55">
              <w:rPr>
                <w:webHidden/>
              </w:rPr>
              <w:t>5</w:t>
            </w:r>
            <w:r>
              <w:rPr>
                <w:webHidden/>
              </w:rPr>
              <w:fldChar w:fldCharType="end"/>
            </w:r>
          </w:hyperlink>
        </w:p>
        <w:p w14:paraId="4AF3EE87" w14:textId="57FC99C0"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2" w:history="1">
            <w:r w:rsidRPr="00F81311">
              <w:rPr>
                <w:rStyle w:val="Hyperlink"/>
              </w:rPr>
              <w:t>The Context for Bilingual Education and Bilingualism</w:t>
            </w:r>
            <w:r>
              <w:rPr>
                <w:webHidden/>
              </w:rPr>
              <w:tab/>
            </w:r>
            <w:r>
              <w:rPr>
                <w:webHidden/>
              </w:rPr>
              <w:fldChar w:fldCharType="begin"/>
            </w:r>
            <w:r>
              <w:rPr>
                <w:webHidden/>
              </w:rPr>
              <w:instrText xml:space="preserve"> PAGEREF _Toc135655552 \h </w:instrText>
            </w:r>
            <w:r>
              <w:rPr>
                <w:webHidden/>
              </w:rPr>
            </w:r>
            <w:r>
              <w:rPr>
                <w:webHidden/>
              </w:rPr>
              <w:fldChar w:fldCharType="separate"/>
            </w:r>
            <w:r w:rsidR="00652E55">
              <w:rPr>
                <w:webHidden/>
              </w:rPr>
              <w:t>5</w:t>
            </w:r>
            <w:r>
              <w:rPr>
                <w:webHidden/>
              </w:rPr>
              <w:fldChar w:fldCharType="end"/>
            </w:r>
          </w:hyperlink>
        </w:p>
        <w:p w14:paraId="0B1284AB" w14:textId="61058C70"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3" w:history="1">
            <w:r w:rsidRPr="00F81311">
              <w:rPr>
                <w:rStyle w:val="Hyperlink"/>
              </w:rPr>
              <w:t>Bilingual Methodologies</w:t>
            </w:r>
            <w:r>
              <w:rPr>
                <w:webHidden/>
              </w:rPr>
              <w:tab/>
            </w:r>
            <w:r>
              <w:rPr>
                <w:webHidden/>
              </w:rPr>
              <w:fldChar w:fldCharType="begin"/>
            </w:r>
            <w:r>
              <w:rPr>
                <w:webHidden/>
              </w:rPr>
              <w:instrText xml:space="preserve"> PAGEREF _Toc135655553 \h </w:instrText>
            </w:r>
            <w:r>
              <w:rPr>
                <w:webHidden/>
              </w:rPr>
            </w:r>
            <w:r>
              <w:rPr>
                <w:webHidden/>
              </w:rPr>
              <w:fldChar w:fldCharType="separate"/>
            </w:r>
            <w:r w:rsidR="00652E55">
              <w:rPr>
                <w:webHidden/>
              </w:rPr>
              <w:t>6</w:t>
            </w:r>
            <w:r>
              <w:rPr>
                <w:webHidden/>
              </w:rPr>
              <w:fldChar w:fldCharType="end"/>
            </w:r>
          </w:hyperlink>
        </w:p>
        <w:p w14:paraId="60783C81" w14:textId="1828AA5E"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4" w:history="1">
            <w:r w:rsidRPr="00F81311">
              <w:rPr>
                <w:rStyle w:val="Hyperlink"/>
              </w:rPr>
              <w:t>Crosscultural/Intercultural Knowledge and Pedagogy</w:t>
            </w:r>
            <w:r>
              <w:rPr>
                <w:webHidden/>
              </w:rPr>
              <w:tab/>
            </w:r>
            <w:r>
              <w:rPr>
                <w:webHidden/>
              </w:rPr>
              <w:fldChar w:fldCharType="begin"/>
            </w:r>
            <w:r>
              <w:rPr>
                <w:webHidden/>
              </w:rPr>
              <w:instrText xml:space="preserve"> PAGEREF _Toc135655554 \h </w:instrText>
            </w:r>
            <w:r>
              <w:rPr>
                <w:webHidden/>
              </w:rPr>
            </w:r>
            <w:r>
              <w:rPr>
                <w:webHidden/>
              </w:rPr>
              <w:fldChar w:fldCharType="separate"/>
            </w:r>
            <w:r w:rsidR="00652E55">
              <w:rPr>
                <w:webHidden/>
              </w:rPr>
              <w:t>6</w:t>
            </w:r>
            <w:r>
              <w:rPr>
                <w:webHidden/>
              </w:rPr>
              <w:fldChar w:fldCharType="end"/>
            </w:r>
          </w:hyperlink>
        </w:p>
        <w:p w14:paraId="7FB61D64" w14:textId="43DCEB80" w:rsidR="00FB385F" w:rsidRDefault="00FB385F">
          <w:pPr>
            <w:pStyle w:val="TOC2"/>
            <w:rPr>
              <w:rFonts w:asciiTheme="minorHAnsi" w:eastAsiaTheme="minorEastAsia" w:hAnsiTheme="minorHAnsi" w:cstheme="minorBidi"/>
              <w:kern w:val="2"/>
              <w:sz w:val="22"/>
              <w:szCs w:val="22"/>
              <w14:ligatures w14:val="standardContextual"/>
            </w:rPr>
          </w:pPr>
          <w:hyperlink w:anchor="_Toc135655555" w:history="1">
            <w:r w:rsidRPr="00F81311">
              <w:rPr>
                <w:rStyle w:val="Hyperlink"/>
              </w:rPr>
              <w:t>Section 3:  Submission Guidelines and Transmission Requirements</w:t>
            </w:r>
            <w:r>
              <w:rPr>
                <w:webHidden/>
              </w:rPr>
              <w:tab/>
            </w:r>
            <w:r>
              <w:rPr>
                <w:webHidden/>
              </w:rPr>
              <w:fldChar w:fldCharType="begin"/>
            </w:r>
            <w:r>
              <w:rPr>
                <w:webHidden/>
              </w:rPr>
              <w:instrText xml:space="preserve"> PAGEREF _Toc135655555 \h </w:instrText>
            </w:r>
            <w:r>
              <w:rPr>
                <w:webHidden/>
              </w:rPr>
            </w:r>
            <w:r>
              <w:rPr>
                <w:webHidden/>
              </w:rPr>
              <w:fldChar w:fldCharType="separate"/>
            </w:r>
            <w:r w:rsidR="00652E55">
              <w:rPr>
                <w:webHidden/>
              </w:rPr>
              <w:t>8</w:t>
            </w:r>
            <w:r>
              <w:rPr>
                <w:webHidden/>
              </w:rPr>
              <w:fldChar w:fldCharType="end"/>
            </w:r>
          </w:hyperlink>
        </w:p>
        <w:p w14:paraId="08928130" w14:textId="6DD4C6CB"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6" w:history="1">
            <w:r w:rsidRPr="00F81311">
              <w:rPr>
                <w:rStyle w:val="Hyperlink"/>
              </w:rPr>
              <w:t>Preparing Responses to Preconditions</w:t>
            </w:r>
            <w:r>
              <w:rPr>
                <w:webHidden/>
              </w:rPr>
              <w:tab/>
            </w:r>
            <w:r>
              <w:rPr>
                <w:webHidden/>
              </w:rPr>
              <w:fldChar w:fldCharType="begin"/>
            </w:r>
            <w:r>
              <w:rPr>
                <w:webHidden/>
              </w:rPr>
              <w:instrText xml:space="preserve"> PAGEREF _Toc135655556 \h </w:instrText>
            </w:r>
            <w:r>
              <w:rPr>
                <w:webHidden/>
              </w:rPr>
            </w:r>
            <w:r>
              <w:rPr>
                <w:webHidden/>
              </w:rPr>
              <w:fldChar w:fldCharType="separate"/>
            </w:r>
            <w:r w:rsidR="00652E55">
              <w:rPr>
                <w:webHidden/>
              </w:rPr>
              <w:t>8</w:t>
            </w:r>
            <w:r>
              <w:rPr>
                <w:webHidden/>
              </w:rPr>
              <w:fldChar w:fldCharType="end"/>
            </w:r>
          </w:hyperlink>
        </w:p>
        <w:p w14:paraId="7772CBA7" w14:textId="74BDF78F"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7" w:history="1">
            <w:r w:rsidRPr="00F81311">
              <w:rPr>
                <w:rStyle w:val="Hyperlink"/>
              </w:rPr>
              <w:t>Preparing Responses to the Common Standards</w:t>
            </w:r>
            <w:r>
              <w:rPr>
                <w:webHidden/>
              </w:rPr>
              <w:tab/>
            </w:r>
            <w:r>
              <w:rPr>
                <w:webHidden/>
              </w:rPr>
              <w:fldChar w:fldCharType="begin"/>
            </w:r>
            <w:r>
              <w:rPr>
                <w:webHidden/>
              </w:rPr>
              <w:instrText xml:space="preserve"> PAGEREF _Toc135655557 \h </w:instrText>
            </w:r>
            <w:r>
              <w:rPr>
                <w:webHidden/>
              </w:rPr>
            </w:r>
            <w:r>
              <w:rPr>
                <w:webHidden/>
              </w:rPr>
              <w:fldChar w:fldCharType="separate"/>
            </w:r>
            <w:r w:rsidR="00652E55">
              <w:rPr>
                <w:webHidden/>
              </w:rPr>
              <w:t>9</w:t>
            </w:r>
            <w:r>
              <w:rPr>
                <w:webHidden/>
              </w:rPr>
              <w:fldChar w:fldCharType="end"/>
            </w:r>
          </w:hyperlink>
        </w:p>
        <w:p w14:paraId="09FBAEDF" w14:textId="4575E2D0"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8" w:history="1">
            <w:r w:rsidRPr="00F81311">
              <w:rPr>
                <w:rStyle w:val="Hyperlink"/>
              </w:rPr>
              <w:t>Preparing Responses to the Program Standards</w:t>
            </w:r>
            <w:r>
              <w:rPr>
                <w:webHidden/>
              </w:rPr>
              <w:tab/>
            </w:r>
            <w:r>
              <w:rPr>
                <w:webHidden/>
              </w:rPr>
              <w:fldChar w:fldCharType="begin"/>
            </w:r>
            <w:r>
              <w:rPr>
                <w:webHidden/>
              </w:rPr>
              <w:instrText xml:space="preserve"> PAGEREF _Toc135655558 \h </w:instrText>
            </w:r>
            <w:r>
              <w:rPr>
                <w:webHidden/>
              </w:rPr>
            </w:r>
            <w:r>
              <w:rPr>
                <w:webHidden/>
              </w:rPr>
              <w:fldChar w:fldCharType="separate"/>
            </w:r>
            <w:r w:rsidR="00652E55">
              <w:rPr>
                <w:webHidden/>
              </w:rPr>
              <w:t>9</w:t>
            </w:r>
            <w:r>
              <w:rPr>
                <w:webHidden/>
              </w:rPr>
              <w:fldChar w:fldCharType="end"/>
            </w:r>
          </w:hyperlink>
        </w:p>
        <w:p w14:paraId="17705564" w14:textId="323DA438"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59" w:history="1">
            <w:r w:rsidRPr="00F81311">
              <w:rPr>
                <w:rStyle w:val="Hyperlink"/>
              </w:rPr>
              <w:t>Program Review Process and Committee on Accreditation Approval</w:t>
            </w:r>
            <w:r>
              <w:rPr>
                <w:webHidden/>
              </w:rPr>
              <w:tab/>
            </w:r>
            <w:r>
              <w:rPr>
                <w:webHidden/>
              </w:rPr>
              <w:fldChar w:fldCharType="begin"/>
            </w:r>
            <w:r>
              <w:rPr>
                <w:webHidden/>
              </w:rPr>
              <w:instrText xml:space="preserve"> PAGEREF _Toc135655559 \h </w:instrText>
            </w:r>
            <w:r>
              <w:rPr>
                <w:webHidden/>
              </w:rPr>
            </w:r>
            <w:r>
              <w:rPr>
                <w:webHidden/>
              </w:rPr>
              <w:fldChar w:fldCharType="separate"/>
            </w:r>
            <w:r w:rsidR="00652E55">
              <w:rPr>
                <w:webHidden/>
              </w:rPr>
              <w:t>11</w:t>
            </w:r>
            <w:r>
              <w:rPr>
                <w:webHidden/>
              </w:rPr>
              <w:fldChar w:fldCharType="end"/>
            </w:r>
          </w:hyperlink>
        </w:p>
        <w:p w14:paraId="4B888F88" w14:textId="6A060068" w:rsidR="00FB385F" w:rsidRDefault="00FB385F">
          <w:pPr>
            <w:pStyle w:val="TOC2"/>
            <w:rPr>
              <w:rFonts w:asciiTheme="minorHAnsi" w:eastAsiaTheme="minorEastAsia" w:hAnsiTheme="minorHAnsi" w:cstheme="minorBidi"/>
              <w:kern w:val="2"/>
              <w:sz w:val="22"/>
              <w:szCs w:val="22"/>
              <w14:ligatures w14:val="standardContextual"/>
            </w:rPr>
          </w:pPr>
          <w:hyperlink w:anchor="_Toc135655560" w:history="1">
            <w:r w:rsidRPr="00F81311">
              <w:rPr>
                <w:rStyle w:val="Hyperlink"/>
              </w:rPr>
              <w:t>Appendix A: Program Standards for Bilingual Authorization</w:t>
            </w:r>
            <w:r>
              <w:rPr>
                <w:webHidden/>
              </w:rPr>
              <w:tab/>
            </w:r>
            <w:r>
              <w:rPr>
                <w:webHidden/>
              </w:rPr>
              <w:fldChar w:fldCharType="begin"/>
            </w:r>
            <w:r>
              <w:rPr>
                <w:webHidden/>
              </w:rPr>
              <w:instrText xml:space="preserve"> PAGEREF _Toc135655560 \h </w:instrText>
            </w:r>
            <w:r>
              <w:rPr>
                <w:webHidden/>
              </w:rPr>
            </w:r>
            <w:r>
              <w:rPr>
                <w:webHidden/>
              </w:rPr>
              <w:fldChar w:fldCharType="separate"/>
            </w:r>
            <w:r w:rsidR="00652E55">
              <w:rPr>
                <w:webHidden/>
              </w:rPr>
              <w:t>15</w:t>
            </w:r>
            <w:r>
              <w:rPr>
                <w:webHidden/>
              </w:rPr>
              <w:fldChar w:fldCharType="end"/>
            </w:r>
          </w:hyperlink>
        </w:p>
        <w:p w14:paraId="50F722B5" w14:textId="5DD37F75"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1" w:history="1">
            <w:r w:rsidRPr="00F81311">
              <w:rPr>
                <w:rStyle w:val="Hyperlink"/>
              </w:rPr>
              <w:t>Standard 1:  Program Design</w:t>
            </w:r>
            <w:r>
              <w:rPr>
                <w:webHidden/>
              </w:rPr>
              <w:tab/>
            </w:r>
            <w:r>
              <w:rPr>
                <w:webHidden/>
              </w:rPr>
              <w:fldChar w:fldCharType="begin"/>
            </w:r>
            <w:r>
              <w:rPr>
                <w:webHidden/>
              </w:rPr>
              <w:instrText xml:space="preserve"> PAGEREF _Toc135655561 \h </w:instrText>
            </w:r>
            <w:r>
              <w:rPr>
                <w:webHidden/>
              </w:rPr>
            </w:r>
            <w:r>
              <w:rPr>
                <w:webHidden/>
              </w:rPr>
              <w:fldChar w:fldCharType="separate"/>
            </w:r>
            <w:r w:rsidR="00652E55">
              <w:rPr>
                <w:webHidden/>
              </w:rPr>
              <w:t>15</w:t>
            </w:r>
            <w:r>
              <w:rPr>
                <w:webHidden/>
              </w:rPr>
              <w:fldChar w:fldCharType="end"/>
            </w:r>
          </w:hyperlink>
        </w:p>
        <w:p w14:paraId="33FB4C7A" w14:textId="07EBF05F"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2" w:history="1">
            <w:r w:rsidRPr="00F81311">
              <w:rPr>
                <w:rStyle w:val="Hyperlink"/>
              </w:rPr>
              <w:t>Standard 2:  Assessment of Candidate Competence</w:t>
            </w:r>
            <w:r>
              <w:rPr>
                <w:webHidden/>
              </w:rPr>
              <w:tab/>
            </w:r>
            <w:r>
              <w:rPr>
                <w:webHidden/>
              </w:rPr>
              <w:fldChar w:fldCharType="begin"/>
            </w:r>
            <w:r>
              <w:rPr>
                <w:webHidden/>
              </w:rPr>
              <w:instrText xml:space="preserve"> PAGEREF _Toc135655562 \h </w:instrText>
            </w:r>
            <w:r>
              <w:rPr>
                <w:webHidden/>
              </w:rPr>
            </w:r>
            <w:r>
              <w:rPr>
                <w:webHidden/>
              </w:rPr>
              <w:fldChar w:fldCharType="separate"/>
            </w:r>
            <w:r w:rsidR="00652E55">
              <w:rPr>
                <w:webHidden/>
              </w:rPr>
              <w:t>15</w:t>
            </w:r>
            <w:r>
              <w:rPr>
                <w:webHidden/>
              </w:rPr>
              <w:fldChar w:fldCharType="end"/>
            </w:r>
          </w:hyperlink>
        </w:p>
        <w:p w14:paraId="4AB1AC2D" w14:textId="6DD64835"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3" w:history="1">
            <w:r w:rsidRPr="00F81311">
              <w:rPr>
                <w:rStyle w:val="Hyperlink"/>
              </w:rPr>
              <w:t>Standard 3:  The Context for Bilingual Education and Bilingualism</w:t>
            </w:r>
            <w:r>
              <w:rPr>
                <w:webHidden/>
              </w:rPr>
              <w:tab/>
            </w:r>
            <w:r>
              <w:rPr>
                <w:webHidden/>
              </w:rPr>
              <w:fldChar w:fldCharType="begin"/>
            </w:r>
            <w:r>
              <w:rPr>
                <w:webHidden/>
              </w:rPr>
              <w:instrText xml:space="preserve"> PAGEREF _Toc135655563 \h </w:instrText>
            </w:r>
            <w:r>
              <w:rPr>
                <w:webHidden/>
              </w:rPr>
            </w:r>
            <w:r>
              <w:rPr>
                <w:webHidden/>
              </w:rPr>
              <w:fldChar w:fldCharType="separate"/>
            </w:r>
            <w:r w:rsidR="00652E55">
              <w:rPr>
                <w:webHidden/>
              </w:rPr>
              <w:t>15</w:t>
            </w:r>
            <w:r>
              <w:rPr>
                <w:webHidden/>
              </w:rPr>
              <w:fldChar w:fldCharType="end"/>
            </w:r>
          </w:hyperlink>
        </w:p>
        <w:p w14:paraId="1D271B9B" w14:textId="3279C229"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4" w:history="1">
            <w:r w:rsidRPr="00F81311">
              <w:rPr>
                <w:rStyle w:val="Hyperlink"/>
              </w:rPr>
              <w:t>Standard 4:  Bilingual Methodology</w:t>
            </w:r>
            <w:r>
              <w:rPr>
                <w:webHidden/>
              </w:rPr>
              <w:tab/>
            </w:r>
            <w:r>
              <w:rPr>
                <w:webHidden/>
              </w:rPr>
              <w:fldChar w:fldCharType="begin"/>
            </w:r>
            <w:r>
              <w:rPr>
                <w:webHidden/>
              </w:rPr>
              <w:instrText xml:space="preserve"> PAGEREF _Toc135655564 \h </w:instrText>
            </w:r>
            <w:r>
              <w:rPr>
                <w:webHidden/>
              </w:rPr>
            </w:r>
            <w:r>
              <w:rPr>
                <w:webHidden/>
              </w:rPr>
              <w:fldChar w:fldCharType="separate"/>
            </w:r>
            <w:r w:rsidR="00652E55">
              <w:rPr>
                <w:webHidden/>
              </w:rPr>
              <w:t>17</w:t>
            </w:r>
            <w:r>
              <w:rPr>
                <w:webHidden/>
              </w:rPr>
              <w:fldChar w:fldCharType="end"/>
            </w:r>
          </w:hyperlink>
        </w:p>
        <w:p w14:paraId="005ADA4F" w14:textId="05014835"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5" w:history="1">
            <w:r w:rsidRPr="00F81311">
              <w:rPr>
                <w:rStyle w:val="Hyperlink"/>
              </w:rPr>
              <w:t>Standard 5:  Culture of Emphasis</w:t>
            </w:r>
            <w:r>
              <w:rPr>
                <w:webHidden/>
              </w:rPr>
              <w:tab/>
            </w:r>
            <w:r>
              <w:rPr>
                <w:webHidden/>
              </w:rPr>
              <w:fldChar w:fldCharType="begin"/>
            </w:r>
            <w:r>
              <w:rPr>
                <w:webHidden/>
              </w:rPr>
              <w:instrText xml:space="preserve"> PAGEREF _Toc135655565 \h </w:instrText>
            </w:r>
            <w:r>
              <w:rPr>
                <w:webHidden/>
              </w:rPr>
            </w:r>
            <w:r>
              <w:rPr>
                <w:webHidden/>
              </w:rPr>
              <w:fldChar w:fldCharType="separate"/>
            </w:r>
            <w:r w:rsidR="00652E55">
              <w:rPr>
                <w:webHidden/>
              </w:rPr>
              <w:t>19</w:t>
            </w:r>
            <w:r>
              <w:rPr>
                <w:webHidden/>
              </w:rPr>
              <w:fldChar w:fldCharType="end"/>
            </w:r>
          </w:hyperlink>
        </w:p>
        <w:p w14:paraId="3875C9BD" w14:textId="1AF04AAF"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6" w:history="1">
            <w:r w:rsidRPr="00F81311">
              <w:rPr>
                <w:rStyle w:val="Hyperlink"/>
              </w:rPr>
              <w:t>Standard 6:  Assessment of Candidate Language Competence</w:t>
            </w:r>
            <w:r>
              <w:rPr>
                <w:webHidden/>
              </w:rPr>
              <w:tab/>
            </w:r>
            <w:r>
              <w:rPr>
                <w:webHidden/>
              </w:rPr>
              <w:fldChar w:fldCharType="begin"/>
            </w:r>
            <w:r>
              <w:rPr>
                <w:webHidden/>
              </w:rPr>
              <w:instrText xml:space="preserve"> PAGEREF _Toc135655566 \h </w:instrText>
            </w:r>
            <w:r>
              <w:rPr>
                <w:webHidden/>
              </w:rPr>
            </w:r>
            <w:r>
              <w:rPr>
                <w:webHidden/>
              </w:rPr>
              <w:fldChar w:fldCharType="separate"/>
            </w:r>
            <w:r w:rsidR="00652E55">
              <w:rPr>
                <w:webHidden/>
              </w:rPr>
              <w:t>20</w:t>
            </w:r>
            <w:r>
              <w:rPr>
                <w:webHidden/>
              </w:rPr>
              <w:fldChar w:fldCharType="end"/>
            </w:r>
          </w:hyperlink>
        </w:p>
        <w:p w14:paraId="19C9249E" w14:textId="05FCF13F" w:rsidR="00FB385F" w:rsidRDefault="00FB385F">
          <w:pPr>
            <w:pStyle w:val="TOC2"/>
            <w:rPr>
              <w:rFonts w:asciiTheme="minorHAnsi" w:eastAsiaTheme="minorEastAsia" w:hAnsiTheme="minorHAnsi" w:cstheme="minorBidi"/>
              <w:kern w:val="2"/>
              <w:sz w:val="22"/>
              <w:szCs w:val="22"/>
              <w14:ligatures w14:val="standardContextual"/>
            </w:rPr>
          </w:pPr>
          <w:hyperlink w:anchor="_Toc135655567" w:history="1">
            <w:r w:rsidRPr="00F81311">
              <w:rPr>
                <w:rStyle w:val="Hyperlink"/>
              </w:rPr>
              <w:t>Appendix B: Resources for the Preparation of Bilingual Educators</w:t>
            </w:r>
            <w:r>
              <w:rPr>
                <w:webHidden/>
              </w:rPr>
              <w:tab/>
            </w:r>
            <w:r>
              <w:rPr>
                <w:webHidden/>
              </w:rPr>
              <w:fldChar w:fldCharType="begin"/>
            </w:r>
            <w:r>
              <w:rPr>
                <w:webHidden/>
              </w:rPr>
              <w:instrText xml:space="preserve"> PAGEREF _Toc135655567 \h </w:instrText>
            </w:r>
            <w:r>
              <w:rPr>
                <w:webHidden/>
              </w:rPr>
            </w:r>
            <w:r>
              <w:rPr>
                <w:webHidden/>
              </w:rPr>
              <w:fldChar w:fldCharType="separate"/>
            </w:r>
            <w:r w:rsidR="00652E55">
              <w:rPr>
                <w:webHidden/>
              </w:rPr>
              <w:t>21</w:t>
            </w:r>
            <w:r>
              <w:rPr>
                <w:webHidden/>
              </w:rPr>
              <w:fldChar w:fldCharType="end"/>
            </w:r>
          </w:hyperlink>
        </w:p>
        <w:p w14:paraId="548E71CD" w14:textId="7DBBDAAB" w:rsidR="00FB385F" w:rsidRDefault="00FB385F">
          <w:pPr>
            <w:pStyle w:val="TOC2"/>
            <w:rPr>
              <w:rFonts w:asciiTheme="minorHAnsi" w:eastAsiaTheme="minorEastAsia" w:hAnsiTheme="minorHAnsi" w:cstheme="minorBidi"/>
              <w:kern w:val="2"/>
              <w:sz w:val="22"/>
              <w:szCs w:val="22"/>
              <w14:ligatures w14:val="standardContextual"/>
            </w:rPr>
          </w:pPr>
          <w:hyperlink w:anchor="_Toc135655568" w:history="1">
            <w:r w:rsidRPr="00F81311">
              <w:rPr>
                <w:rStyle w:val="Hyperlink"/>
              </w:rPr>
              <w:t>Appendix C: American Council on the Teaching of Foreign Languages (ACTFL) Proficiency Standards Descriptions</w:t>
            </w:r>
            <w:r>
              <w:rPr>
                <w:webHidden/>
              </w:rPr>
              <w:tab/>
            </w:r>
            <w:r>
              <w:rPr>
                <w:webHidden/>
              </w:rPr>
              <w:fldChar w:fldCharType="begin"/>
            </w:r>
            <w:r>
              <w:rPr>
                <w:webHidden/>
              </w:rPr>
              <w:instrText xml:space="preserve"> PAGEREF _Toc135655568 \h </w:instrText>
            </w:r>
            <w:r>
              <w:rPr>
                <w:webHidden/>
              </w:rPr>
            </w:r>
            <w:r>
              <w:rPr>
                <w:webHidden/>
              </w:rPr>
              <w:fldChar w:fldCharType="separate"/>
            </w:r>
            <w:r w:rsidR="00652E55">
              <w:rPr>
                <w:webHidden/>
              </w:rPr>
              <w:t>28</w:t>
            </w:r>
            <w:r>
              <w:rPr>
                <w:webHidden/>
              </w:rPr>
              <w:fldChar w:fldCharType="end"/>
            </w:r>
          </w:hyperlink>
        </w:p>
        <w:p w14:paraId="77B0AC59" w14:textId="3FBF4997"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69" w:history="1">
            <w:r w:rsidRPr="00F81311">
              <w:rPr>
                <w:rStyle w:val="Hyperlink"/>
              </w:rPr>
              <w:t>ACTFL PROFICIENCY STANDARDS: LISTENING</w:t>
            </w:r>
            <w:r>
              <w:rPr>
                <w:webHidden/>
              </w:rPr>
              <w:tab/>
            </w:r>
            <w:r>
              <w:rPr>
                <w:webHidden/>
              </w:rPr>
              <w:fldChar w:fldCharType="begin"/>
            </w:r>
            <w:r>
              <w:rPr>
                <w:webHidden/>
              </w:rPr>
              <w:instrText xml:space="preserve"> PAGEREF _Toc135655569 \h </w:instrText>
            </w:r>
            <w:r>
              <w:rPr>
                <w:webHidden/>
              </w:rPr>
            </w:r>
            <w:r>
              <w:rPr>
                <w:webHidden/>
              </w:rPr>
              <w:fldChar w:fldCharType="separate"/>
            </w:r>
            <w:r w:rsidR="00652E55">
              <w:rPr>
                <w:webHidden/>
              </w:rPr>
              <w:t>28</w:t>
            </w:r>
            <w:r>
              <w:rPr>
                <w:webHidden/>
              </w:rPr>
              <w:fldChar w:fldCharType="end"/>
            </w:r>
          </w:hyperlink>
        </w:p>
        <w:p w14:paraId="4FD0BB3B" w14:textId="77F44491"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70" w:history="1">
            <w:r w:rsidRPr="00F81311">
              <w:rPr>
                <w:rStyle w:val="Hyperlink"/>
              </w:rPr>
              <w:t>ACTFL PROFICIENCY STANDARDS: SPEAKING</w:t>
            </w:r>
            <w:r>
              <w:rPr>
                <w:webHidden/>
              </w:rPr>
              <w:tab/>
            </w:r>
            <w:r>
              <w:rPr>
                <w:webHidden/>
              </w:rPr>
              <w:fldChar w:fldCharType="begin"/>
            </w:r>
            <w:r>
              <w:rPr>
                <w:webHidden/>
              </w:rPr>
              <w:instrText xml:space="preserve"> PAGEREF _Toc135655570 \h </w:instrText>
            </w:r>
            <w:r>
              <w:rPr>
                <w:webHidden/>
              </w:rPr>
            </w:r>
            <w:r>
              <w:rPr>
                <w:webHidden/>
              </w:rPr>
              <w:fldChar w:fldCharType="separate"/>
            </w:r>
            <w:r w:rsidR="00652E55">
              <w:rPr>
                <w:webHidden/>
              </w:rPr>
              <w:t>28</w:t>
            </w:r>
            <w:r>
              <w:rPr>
                <w:webHidden/>
              </w:rPr>
              <w:fldChar w:fldCharType="end"/>
            </w:r>
          </w:hyperlink>
        </w:p>
        <w:p w14:paraId="15ABABAA" w14:textId="5D857502"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71" w:history="1">
            <w:r w:rsidRPr="00F81311">
              <w:rPr>
                <w:rStyle w:val="Hyperlink"/>
              </w:rPr>
              <w:t>ACTFL PROFICIENCY STANDARDS: READING</w:t>
            </w:r>
            <w:r>
              <w:rPr>
                <w:webHidden/>
              </w:rPr>
              <w:tab/>
            </w:r>
            <w:r>
              <w:rPr>
                <w:webHidden/>
              </w:rPr>
              <w:fldChar w:fldCharType="begin"/>
            </w:r>
            <w:r>
              <w:rPr>
                <w:webHidden/>
              </w:rPr>
              <w:instrText xml:space="preserve"> PAGEREF _Toc135655571 \h </w:instrText>
            </w:r>
            <w:r>
              <w:rPr>
                <w:webHidden/>
              </w:rPr>
            </w:r>
            <w:r>
              <w:rPr>
                <w:webHidden/>
              </w:rPr>
              <w:fldChar w:fldCharType="separate"/>
            </w:r>
            <w:r w:rsidR="00652E55">
              <w:rPr>
                <w:webHidden/>
              </w:rPr>
              <w:t>29</w:t>
            </w:r>
            <w:r>
              <w:rPr>
                <w:webHidden/>
              </w:rPr>
              <w:fldChar w:fldCharType="end"/>
            </w:r>
          </w:hyperlink>
        </w:p>
        <w:p w14:paraId="75E55B71" w14:textId="224FBC01" w:rsidR="00FB385F" w:rsidRDefault="00FB385F">
          <w:pPr>
            <w:pStyle w:val="TOC3"/>
            <w:rPr>
              <w:rFonts w:asciiTheme="minorHAnsi" w:eastAsiaTheme="minorEastAsia" w:hAnsiTheme="minorHAnsi" w:cstheme="minorBidi"/>
              <w:i w:val="0"/>
              <w:iCs w:val="0"/>
              <w:kern w:val="2"/>
              <w:szCs w:val="22"/>
              <w14:ligatures w14:val="standardContextual"/>
            </w:rPr>
          </w:pPr>
          <w:hyperlink w:anchor="_Toc135655572" w:history="1">
            <w:r w:rsidRPr="00F81311">
              <w:rPr>
                <w:rStyle w:val="Hyperlink"/>
              </w:rPr>
              <w:t>ACTFL PROFICIENCY STANDARDS: WRITING</w:t>
            </w:r>
            <w:r>
              <w:rPr>
                <w:webHidden/>
              </w:rPr>
              <w:tab/>
            </w:r>
            <w:r>
              <w:rPr>
                <w:webHidden/>
              </w:rPr>
              <w:fldChar w:fldCharType="begin"/>
            </w:r>
            <w:r>
              <w:rPr>
                <w:webHidden/>
              </w:rPr>
              <w:instrText xml:space="preserve"> PAGEREF _Toc135655572 \h </w:instrText>
            </w:r>
            <w:r>
              <w:rPr>
                <w:webHidden/>
              </w:rPr>
            </w:r>
            <w:r>
              <w:rPr>
                <w:webHidden/>
              </w:rPr>
              <w:fldChar w:fldCharType="separate"/>
            </w:r>
            <w:r w:rsidR="00652E55">
              <w:rPr>
                <w:webHidden/>
              </w:rPr>
              <w:t>30</w:t>
            </w:r>
            <w:r>
              <w:rPr>
                <w:webHidden/>
              </w:rPr>
              <w:fldChar w:fldCharType="end"/>
            </w:r>
          </w:hyperlink>
        </w:p>
        <w:p w14:paraId="7AF1F136" w14:textId="6E5F8221" w:rsidR="00FB385F" w:rsidRDefault="00FB385F">
          <w:pPr>
            <w:pStyle w:val="TOC2"/>
            <w:rPr>
              <w:rFonts w:asciiTheme="minorHAnsi" w:eastAsiaTheme="minorEastAsia" w:hAnsiTheme="minorHAnsi" w:cstheme="minorBidi"/>
              <w:kern w:val="2"/>
              <w:sz w:val="22"/>
              <w:szCs w:val="22"/>
              <w14:ligatures w14:val="standardContextual"/>
            </w:rPr>
          </w:pPr>
          <w:hyperlink w:anchor="_Toc135655573" w:history="1">
            <w:r w:rsidRPr="00F81311">
              <w:rPr>
                <w:rStyle w:val="Hyperlink"/>
              </w:rPr>
              <w:t>Appendix D: Sample Matrix to guide Bilingual Authorization Routes</w:t>
            </w:r>
            <w:r>
              <w:rPr>
                <w:webHidden/>
              </w:rPr>
              <w:tab/>
            </w:r>
            <w:r>
              <w:rPr>
                <w:webHidden/>
              </w:rPr>
              <w:fldChar w:fldCharType="begin"/>
            </w:r>
            <w:r>
              <w:rPr>
                <w:webHidden/>
              </w:rPr>
              <w:instrText xml:space="preserve"> PAGEREF _Toc135655573 \h </w:instrText>
            </w:r>
            <w:r>
              <w:rPr>
                <w:webHidden/>
              </w:rPr>
            </w:r>
            <w:r>
              <w:rPr>
                <w:webHidden/>
              </w:rPr>
              <w:fldChar w:fldCharType="separate"/>
            </w:r>
            <w:r w:rsidR="00652E55">
              <w:rPr>
                <w:webHidden/>
              </w:rPr>
              <w:t>32</w:t>
            </w:r>
            <w:r>
              <w:rPr>
                <w:webHidden/>
              </w:rPr>
              <w:fldChar w:fldCharType="end"/>
            </w:r>
          </w:hyperlink>
        </w:p>
        <w:p w14:paraId="0BA8A857" w14:textId="2EBFABDD" w:rsidR="00C56045" w:rsidRDefault="00C56045">
          <w:r>
            <w:rPr>
              <w:b/>
              <w:bCs/>
              <w:noProof/>
            </w:rPr>
            <w:fldChar w:fldCharType="end"/>
          </w:r>
        </w:p>
      </w:sdtContent>
    </w:sdt>
    <w:p w14:paraId="6A0C5DA4" w14:textId="57B4C059" w:rsidR="00251A71" w:rsidRDefault="00251A71" w:rsidP="00C740FE"/>
    <w:p w14:paraId="7771519D" w14:textId="77777777" w:rsidR="005E21C7" w:rsidRDefault="00251A71" w:rsidP="00F17541">
      <w:pPr>
        <w:pStyle w:val="Heading1"/>
      </w:pPr>
      <w:r>
        <w:br w:type="page"/>
      </w:r>
    </w:p>
    <w:p w14:paraId="5154E999" w14:textId="77777777" w:rsidR="0024180F" w:rsidRDefault="0024180F" w:rsidP="005E21C7">
      <w:pPr>
        <w:pStyle w:val="Title"/>
        <w:ind w:right="0"/>
        <w:rPr>
          <w:sz w:val="32"/>
          <w:szCs w:val="32"/>
        </w:rPr>
      </w:pPr>
      <w:r>
        <w:rPr>
          <w:sz w:val="32"/>
          <w:szCs w:val="32"/>
        </w:rPr>
        <w:lastRenderedPageBreak/>
        <w:t xml:space="preserve">Bilingual </w:t>
      </w:r>
      <w:r w:rsidR="00397671">
        <w:rPr>
          <w:sz w:val="32"/>
          <w:szCs w:val="32"/>
        </w:rPr>
        <w:t xml:space="preserve">Authorization </w:t>
      </w:r>
      <w:r>
        <w:rPr>
          <w:sz w:val="32"/>
          <w:szCs w:val="32"/>
        </w:rPr>
        <w:t xml:space="preserve">Teacher </w:t>
      </w:r>
      <w:r w:rsidR="006E5993">
        <w:rPr>
          <w:sz w:val="32"/>
          <w:szCs w:val="32"/>
        </w:rPr>
        <w:t>Preparation Programs</w:t>
      </w:r>
    </w:p>
    <w:p w14:paraId="41926C45" w14:textId="77777777" w:rsidR="007B5308" w:rsidRPr="00EB645D" w:rsidRDefault="007B5308" w:rsidP="00505FF7">
      <w:pPr>
        <w:rPr>
          <w:b/>
          <w:sz w:val="28"/>
          <w:szCs w:val="28"/>
        </w:rPr>
      </w:pPr>
    </w:p>
    <w:p w14:paraId="29507D2B" w14:textId="77777777" w:rsidR="00404390" w:rsidRPr="00F26EF6" w:rsidRDefault="00404390" w:rsidP="00C740FE">
      <w:pPr>
        <w:pStyle w:val="Heading2"/>
      </w:pPr>
      <w:bookmarkStart w:id="31" w:name="Introduction"/>
      <w:bookmarkStart w:id="32" w:name="_Toc337553968"/>
      <w:bookmarkStart w:id="33" w:name="_Toc135655548"/>
      <w:r w:rsidRPr="00F26EF6">
        <w:t>Introduction</w:t>
      </w:r>
      <w:bookmarkEnd w:id="32"/>
      <w:bookmarkEnd w:id="33"/>
    </w:p>
    <w:bookmarkEnd w:id="31"/>
    <w:p w14:paraId="0FDE95E5" w14:textId="77777777" w:rsidR="00404390" w:rsidRPr="00BF47BC" w:rsidRDefault="00404390" w:rsidP="00404390">
      <w:pPr>
        <w:jc w:val="both"/>
      </w:pPr>
    </w:p>
    <w:p w14:paraId="6929194D" w14:textId="77777777" w:rsidR="00404390" w:rsidRPr="00AF3134" w:rsidRDefault="00404390" w:rsidP="00404390">
      <w:pPr>
        <w:jc w:val="both"/>
      </w:pPr>
      <w:r w:rsidRPr="00AF3134">
        <w:t xml:space="preserve">The quality of public education depends substantially on the performance of professional educators.  Like all other states, California requires educators to hold credentials granted by the state </w:t>
      </w:r>
      <w:proofErr w:type="gramStart"/>
      <w:r w:rsidRPr="00AF3134">
        <w:t>in order to</w:t>
      </w:r>
      <w:proofErr w:type="gramEnd"/>
      <w:r w:rsidRPr="00AF3134">
        <w:t xml:space="preserve"> serve in </w:t>
      </w:r>
      <w:proofErr w:type="gramStart"/>
      <w:r w:rsidRPr="00AF3134">
        <w:t>the public</w:t>
      </w:r>
      <w:proofErr w:type="gramEnd"/>
      <w:r w:rsidRPr="00AF3134">
        <w:t xml:space="preserve"> schools. Each state, including California, establishes and enforces standards and requirements for earning credentials for public school service.  These certification standards and requirements are among the ways in which states exercise their constitutional responsibility for governing public education.</w:t>
      </w:r>
    </w:p>
    <w:p w14:paraId="68BC9821" w14:textId="77777777" w:rsidR="00404390" w:rsidRPr="00AF3134" w:rsidRDefault="00404390" w:rsidP="00404390">
      <w:pPr>
        <w:jc w:val="both"/>
      </w:pPr>
    </w:p>
    <w:p w14:paraId="26251F2E" w14:textId="77777777" w:rsidR="00404390" w:rsidRDefault="00404390" w:rsidP="00404390">
      <w:pPr>
        <w:jc w:val="both"/>
      </w:pPr>
      <w:r w:rsidRPr="00AF3134">
        <w:t xml:space="preserve">The quality of professional performance depends heavily on the quality of initial preparation.  Each state has a legitimate interest in the quality of training programs for professional educators.  In each state, completion of a professional preparation program that has been approved by the state's certification agency is a legal requirement for earning each type of credential, including teaching credentials.  State legislatures adopt such requirements because they recognize the critical role of professional preparation in subsequent professional performance.  </w:t>
      </w:r>
    </w:p>
    <w:p w14:paraId="7929DE7B" w14:textId="77777777" w:rsidR="00404390" w:rsidRDefault="00404390" w:rsidP="00404390">
      <w:pPr>
        <w:jc w:val="both"/>
      </w:pPr>
    </w:p>
    <w:p w14:paraId="56490C6B" w14:textId="77777777" w:rsidR="00404390" w:rsidRDefault="00404390" w:rsidP="00404390">
      <w:pPr>
        <w:jc w:val="both"/>
      </w:pPr>
      <w:r w:rsidRPr="00070287">
        <w:t xml:space="preserve">The bilingual teaching authorization prepares </w:t>
      </w:r>
      <w:r w:rsidR="00397671">
        <w:t>individuals</w:t>
      </w:r>
      <w:r w:rsidRPr="00070287">
        <w:t xml:space="preserve"> to provide English language development, specially designed academic instruction in English and academic content instruction in </w:t>
      </w:r>
      <w:r w:rsidR="00070287" w:rsidRPr="00070287">
        <w:t xml:space="preserve">both </w:t>
      </w:r>
      <w:r w:rsidRPr="00070287">
        <w:t>English and the language of their bilingual authorization</w:t>
      </w:r>
      <w:r w:rsidR="00397671">
        <w:t xml:space="preserve">.  The Bilingual authorization may be earned concurrently </w:t>
      </w:r>
      <w:r w:rsidR="00CA49DE">
        <w:t xml:space="preserve">with </w:t>
      </w:r>
      <w:r w:rsidR="00397671">
        <w:t xml:space="preserve">or added </w:t>
      </w:r>
      <w:proofErr w:type="gramStart"/>
      <w:r w:rsidR="00CA49DE">
        <w:t xml:space="preserve">subsequent </w:t>
      </w:r>
      <w:r w:rsidR="00397671">
        <w:t>to</w:t>
      </w:r>
      <w:proofErr w:type="gramEnd"/>
      <w:r w:rsidR="00397671">
        <w:t xml:space="preserve"> a basic teaching document</w:t>
      </w:r>
      <w:r w:rsidR="0065103E">
        <w:t>.</w:t>
      </w:r>
    </w:p>
    <w:p w14:paraId="4B6E48E6" w14:textId="77777777" w:rsidR="0065103E" w:rsidRPr="00AF3134" w:rsidRDefault="0065103E" w:rsidP="00404390">
      <w:pPr>
        <w:jc w:val="both"/>
      </w:pPr>
    </w:p>
    <w:p w14:paraId="60EF8C33" w14:textId="77777777" w:rsidR="008E043A" w:rsidRDefault="00404390" w:rsidP="008E043A">
      <w:r w:rsidRPr="00AF3134">
        <w:t xml:space="preserve">This handbook has been prepared </w:t>
      </w:r>
      <w:r>
        <w:t>to guide program sponsors in submitting documents for initial program approval as</w:t>
      </w:r>
      <w:r w:rsidRPr="00AF3134">
        <w:t xml:space="preserve"> required by the </w:t>
      </w:r>
      <w:r w:rsidRPr="00AF3134">
        <w:rPr>
          <w:i/>
        </w:rPr>
        <w:t>Accreditation Framework</w:t>
      </w:r>
      <w:r w:rsidRPr="00AF3134">
        <w:t xml:space="preserve"> </w:t>
      </w:r>
      <w:r w:rsidR="00B57C1F">
        <w:t xml:space="preserve">and </w:t>
      </w:r>
      <w:r w:rsidRPr="00AF3134">
        <w:t xml:space="preserve">implemented </w:t>
      </w:r>
      <w:r>
        <w:t>by</w:t>
      </w:r>
      <w:r w:rsidRPr="00AF3134">
        <w:t xml:space="preserve"> </w:t>
      </w:r>
      <w:r w:rsidR="00070287" w:rsidRPr="00AF3134">
        <w:t>the</w:t>
      </w:r>
      <w:r w:rsidR="00070287">
        <w:t xml:space="preserve"> Committee on Accreditation (COA) and </w:t>
      </w:r>
      <w:r w:rsidRPr="00AF3134">
        <w:t xml:space="preserve">the Commission on Teacher Credentialing </w:t>
      </w:r>
      <w:r w:rsidR="00B57C1F">
        <w:t>(C</w:t>
      </w:r>
      <w:r w:rsidR="001C422D">
        <w:t>ommission</w:t>
      </w:r>
      <w:r w:rsidR="00070287">
        <w:t>)</w:t>
      </w:r>
      <w:r>
        <w:t xml:space="preserve">.  </w:t>
      </w:r>
      <w:r w:rsidR="008E043A">
        <w:t xml:space="preserve">This handbook is organized in </w:t>
      </w:r>
      <w:r w:rsidR="0053474E">
        <w:t xml:space="preserve">three </w:t>
      </w:r>
      <w:r w:rsidR="001A52A6">
        <w:t>s</w:t>
      </w:r>
      <w:r w:rsidR="008E043A">
        <w:t>ections.</w:t>
      </w:r>
    </w:p>
    <w:p w14:paraId="60E268E7" w14:textId="77777777" w:rsidR="00404390" w:rsidRDefault="00404390" w:rsidP="00404390"/>
    <w:p w14:paraId="68DF40BB" w14:textId="77777777" w:rsidR="00404390" w:rsidRDefault="00404390" w:rsidP="00302A4B">
      <w:pPr>
        <w:tabs>
          <w:tab w:val="left" w:pos="1170"/>
        </w:tabs>
        <w:ind w:left="1170" w:hanging="1170"/>
        <w:jc w:val="both"/>
      </w:pPr>
      <w:r w:rsidRPr="00B57C1F">
        <w:rPr>
          <w:b/>
        </w:rPr>
        <w:t>Section 1</w:t>
      </w:r>
      <w:r>
        <w:t xml:space="preserve"> </w:t>
      </w:r>
      <w:r w:rsidR="00B22A8D">
        <w:tab/>
      </w:r>
      <w:r>
        <w:t>provides information on the Standards</w:t>
      </w:r>
      <w:r w:rsidR="00B57C1F">
        <w:t xml:space="preserve"> of</w:t>
      </w:r>
      <w:r>
        <w:t xml:space="preserve"> Quality and Effectiveness</w:t>
      </w:r>
      <w:r w:rsidR="00215566">
        <w:t xml:space="preserve"> for Bilingua</w:t>
      </w:r>
      <w:r w:rsidR="004A5EB2">
        <w:t>l</w:t>
      </w:r>
      <w:r w:rsidR="00302A4B">
        <w:t xml:space="preserve"> </w:t>
      </w:r>
      <w:r w:rsidR="00397671">
        <w:t>Authorization programs</w:t>
      </w:r>
      <w:r w:rsidR="00C67A5F">
        <w:t>.  The standards are available in Appendix A</w:t>
      </w:r>
      <w:r w:rsidR="00B22A8D">
        <w:t>.</w:t>
      </w:r>
      <w:r w:rsidR="00C67A5F">
        <w:t xml:space="preserve"> Appendix B</w:t>
      </w:r>
      <w:r w:rsidR="00B22A8D">
        <w:t xml:space="preserve"> provides additional resources for the preparation of bilingual educators</w:t>
      </w:r>
      <w:r w:rsidR="00C67A5F">
        <w:t>.</w:t>
      </w:r>
    </w:p>
    <w:p w14:paraId="57C32577" w14:textId="77777777" w:rsidR="00404390" w:rsidRDefault="00404390" w:rsidP="00B22A8D">
      <w:pPr>
        <w:tabs>
          <w:tab w:val="left" w:pos="1170"/>
        </w:tabs>
        <w:ind w:left="1170" w:hanging="1170"/>
        <w:jc w:val="both"/>
      </w:pPr>
    </w:p>
    <w:p w14:paraId="748136C5" w14:textId="77777777" w:rsidR="00404390" w:rsidRDefault="00404390" w:rsidP="00302A4B">
      <w:pPr>
        <w:tabs>
          <w:tab w:val="left" w:pos="1170"/>
        </w:tabs>
        <w:ind w:left="1170" w:hanging="1170"/>
        <w:jc w:val="both"/>
      </w:pPr>
      <w:r w:rsidRPr="00B57C1F">
        <w:rPr>
          <w:b/>
        </w:rPr>
        <w:t>Section</w:t>
      </w:r>
      <w:r w:rsidR="00215566">
        <w:rPr>
          <w:b/>
        </w:rPr>
        <w:t xml:space="preserve"> </w:t>
      </w:r>
      <w:r w:rsidRPr="00B57C1F">
        <w:rPr>
          <w:b/>
        </w:rPr>
        <w:t>2</w:t>
      </w:r>
      <w:r w:rsidR="00215566">
        <w:rPr>
          <w:b/>
        </w:rPr>
        <w:t xml:space="preserve"> </w:t>
      </w:r>
      <w:r w:rsidR="00B22A8D">
        <w:rPr>
          <w:b/>
        </w:rPr>
        <w:tab/>
      </w:r>
      <w:r>
        <w:t>provides t</w:t>
      </w:r>
      <w:r w:rsidRPr="0034143C">
        <w:t>h</w:t>
      </w:r>
      <w:r>
        <w:t>e</w:t>
      </w:r>
      <w:r w:rsidRPr="0034143C">
        <w:t xml:space="preserve"> conceptual framework </w:t>
      </w:r>
      <w:r>
        <w:t xml:space="preserve">that </w:t>
      </w:r>
      <w:r w:rsidRPr="0034143C">
        <w:t xml:space="preserve">addresses the body of research and information underlying the knowledge, </w:t>
      </w:r>
      <w:proofErr w:type="gramStart"/>
      <w:r w:rsidRPr="0034143C">
        <w:t>skills</w:t>
      </w:r>
      <w:proofErr w:type="gramEnd"/>
      <w:r w:rsidRPr="0034143C">
        <w:t xml:space="preserve"> and abilities (KSA</w:t>
      </w:r>
      <w:r w:rsidR="00070287">
        <w:t>s</w:t>
      </w:r>
      <w:r w:rsidRPr="0034143C">
        <w:t xml:space="preserve">) adopted by the </w:t>
      </w:r>
      <w:r w:rsidR="00397671">
        <w:t>Commission</w:t>
      </w:r>
      <w:r w:rsidR="00397671" w:rsidRPr="0034143C">
        <w:t xml:space="preserve"> </w:t>
      </w:r>
      <w:r w:rsidRPr="0034143C">
        <w:t xml:space="preserve">for </w:t>
      </w:r>
      <w:r w:rsidR="008E043A">
        <w:t>CSET:</w:t>
      </w:r>
      <w:r w:rsidR="00B57C1F">
        <w:t xml:space="preserve"> </w:t>
      </w:r>
      <w:r w:rsidR="008E043A">
        <w:t>LOTE E</w:t>
      </w:r>
      <w:r w:rsidRPr="0034143C">
        <w:t xml:space="preserve">xaminations </w:t>
      </w:r>
      <w:r w:rsidR="00B57C1F">
        <w:t xml:space="preserve">II or III, IV and V </w:t>
      </w:r>
      <w:r w:rsidRPr="0034143C">
        <w:t xml:space="preserve">and </w:t>
      </w:r>
      <w:r w:rsidR="008E043A">
        <w:t xml:space="preserve">the program </w:t>
      </w:r>
      <w:r w:rsidRPr="0034143C">
        <w:t>standards for bilingual teacher</w:t>
      </w:r>
      <w:r w:rsidR="008E043A">
        <w:t xml:space="preserve"> </w:t>
      </w:r>
      <w:r w:rsidR="00B57C1F">
        <w:t>authorization</w:t>
      </w:r>
      <w:r w:rsidRPr="0034143C">
        <w:t xml:space="preserve">. </w:t>
      </w:r>
    </w:p>
    <w:p w14:paraId="1C1F1D07" w14:textId="77777777" w:rsidR="00B56019" w:rsidRDefault="00B56019" w:rsidP="00B22A8D">
      <w:pPr>
        <w:tabs>
          <w:tab w:val="left" w:pos="1170"/>
        </w:tabs>
        <w:ind w:left="1170" w:hanging="1170"/>
        <w:jc w:val="both"/>
      </w:pPr>
    </w:p>
    <w:p w14:paraId="70A959F3" w14:textId="77777777" w:rsidR="00B22A8D" w:rsidRDefault="008E043A" w:rsidP="00302A4B">
      <w:pPr>
        <w:tabs>
          <w:tab w:val="left" w:pos="1170"/>
        </w:tabs>
        <w:ind w:left="1170" w:hanging="1170"/>
        <w:jc w:val="both"/>
      </w:pPr>
      <w:r w:rsidRPr="00B57C1F">
        <w:rPr>
          <w:b/>
        </w:rPr>
        <w:t xml:space="preserve">Section </w:t>
      </w:r>
      <w:r w:rsidR="00404390" w:rsidRPr="00302A4B">
        <w:rPr>
          <w:b/>
        </w:rPr>
        <w:t>3</w:t>
      </w:r>
      <w:r w:rsidR="00404390" w:rsidRPr="00302A4B">
        <w:t xml:space="preserve"> </w:t>
      </w:r>
      <w:r w:rsidR="00B22A8D" w:rsidRPr="00302A4B">
        <w:tab/>
      </w:r>
      <w:r w:rsidR="001A52A6" w:rsidRPr="00302A4B">
        <w:t>p</w:t>
      </w:r>
      <w:r w:rsidR="00404390" w:rsidRPr="00302A4B">
        <w:t xml:space="preserve">rovides </w:t>
      </w:r>
      <w:r w:rsidR="001A52A6" w:rsidRPr="00302A4B">
        <w:t>g</w:t>
      </w:r>
      <w:r w:rsidR="00404390" w:rsidRPr="00302A4B">
        <w:t xml:space="preserve">uidelines for </w:t>
      </w:r>
      <w:r w:rsidR="001A52A6" w:rsidRPr="00302A4B">
        <w:t>p</w:t>
      </w:r>
      <w:r w:rsidR="00404390" w:rsidRPr="00302A4B">
        <w:t xml:space="preserve">rogram </w:t>
      </w:r>
      <w:r w:rsidR="001A52A6" w:rsidRPr="00302A4B">
        <w:t>s</w:t>
      </w:r>
      <w:r w:rsidR="00404390" w:rsidRPr="00302A4B">
        <w:t xml:space="preserve">ponsors preparing documentation for initial program </w:t>
      </w:r>
      <w:r w:rsidR="005C5C0D" w:rsidRPr="00302A4B">
        <w:t xml:space="preserve">review and </w:t>
      </w:r>
      <w:r w:rsidR="00404390" w:rsidRPr="00302A4B">
        <w:t xml:space="preserve">approval and information on the </w:t>
      </w:r>
      <w:r w:rsidR="001A52A6" w:rsidRPr="00302A4B">
        <w:t>r</w:t>
      </w:r>
      <w:r w:rsidR="00404390" w:rsidRPr="00302A4B">
        <w:t xml:space="preserve">eview and </w:t>
      </w:r>
      <w:r w:rsidR="001A52A6" w:rsidRPr="00302A4B">
        <w:t>a</w:t>
      </w:r>
      <w:r w:rsidR="00404390" w:rsidRPr="00302A4B">
        <w:t xml:space="preserve">pproval </w:t>
      </w:r>
      <w:r w:rsidR="005C5C0D" w:rsidRPr="00302A4B">
        <w:t xml:space="preserve">process for </w:t>
      </w:r>
      <w:r w:rsidR="00B32F85" w:rsidRPr="00302A4B">
        <w:t>new programs</w:t>
      </w:r>
      <w:r w:rsidR="00404390" w:rsidRPr="00302A4B">
        <w:t>.</w:t>
      </w:r>
      <w:r w:rsidR="005C5C0D" w:rsidRPr="00302A4B">
        <w:t xml:space="preserve">  Links are provided for detailed information on submission guidelines, document formatting and transmission requirements for Initial Program Review (IPR)</w:t>
      </w:r>
    </w:p>
    <w:p w14:paraId="2BECB943" w14:textId="77777777" w:rsidR="00302A4B" w:rsidRDefault="00302A4B" w:rsidP="00302A4B">
      <w:pPr>
        <w:tabs>
          <w:tab w:val="left" w:pos="1170"/>
        </w:tabs>
        <w:ind w:left="1170" w:hanging="1170"/>
        <w:jc w:val="both"/>
      </w:pPr>
    </w:p>
    <w:p w14:paraId="338C0E17" w14:textId="77777777" w:rsidR="00404390" w:rsidRDefault="00404390" w:rsidP="008B1252">
      <w:pPr>
        <w:jc w:val="both"/>
      </w:pPr>
      <w:r w:rsidRPr="00AF3134">
        <w:t xml:space="preserve">The Commission is grateful to all the members of the profession who participated in the development of these </w:t>
      </w:r>
      <w:r>
        <w:t xml:space="preserve">program </w:t>
      </w:r>
      <w:r w:rsidRPr="00AF3134">
        <w:t xml:space="preserve">standards.  </w:t>
      </w:r>
    </w:p>
    <w:p w14:paraId="1F055E86" w14:textId="77777777" w:rsidR="00A5063D" w:rsidRDefault="00A5063D" w:rsidP="008B1252">
      <w:pPr>
        <w:jc w:val="both"/>
      </w:pPr>
    </w:p>
    <w:p w14:paraId="2C08102D" w14:textId="77777777" w:rsidR="00A5063D" w:rsidRPr="0034143C" w:rsidRDefault="00A5063D" w:rsidP="008B1252">
      <w:pPr>
        <w:jc w:val="both"/>
      </w:pPr>
    </w:p>
    <w:p w14:paraId="4C614B7D" w14:textId="77777777" w:rsidR="00A5063D" w:rsidRPr="00A5063D" w:rsidRDefault="00A5063D" w:rsidP="00C740FE">
      <w:pPr>
        <w:pStyle w:val="Heading2"/>
        <w:rPr>
          <w:specVanish/>
        </w:rPr>
      </w:pPr>
      <w:bookmarkStart w:id="34" w:name="Section_1"/>
      <w:bookmarkStart w:id="35" w:name="S3_PrepPS_Timeline"/>
      <w:bookmarkStart w:id="36" w:name="_Toc337553969"/>
      <w:bookmarkStart w:id="37" w:name="_Toc135655549"/>
      <w:r>
        <w:t xml:space="preserve">Adoption and Implementation of the </w:t>
      </w:r>
      <w:r w:rsidRPr="00922F1D">
        <w:t>Bilingual Program Standards</w:t>
      </w:r>
      <w:bookmarkEnd w:id="36"/>
      <w:bookmarkEnd w:id="37"/>
    </w:p>
    <w:p w14:paraId="4B99DCA4" w14:textId="77777777" w:rsidR="00A5063D" w:rsidRDefault="00A5063D" w:rsidP="00A5063D">
      <w:pPr>
        <w:pStyle w:val="Style1"/>
      </w:pPr>
      <w:r w:rsidRPr="00922F1D">
        <w:lastRenderedPageBreak/>
        <w:t xml:space="preserve"> </w:t>
      </w:r>
      <w:bookmarkEnd w:id="35"/>
    </w:p>
    <w:p w14:paraId="68B25E6F" w14:textId="77777777" w:rsidR="00A5063D" w:rsidRDefault="00A5063D" w:rsidP="00A5063D">
      <w:pPr>
        <w:pStyle w:val="CM1"/>
        <w:jc w:val="both"/>
      </w:pPr>
      <w:r>
        <w:t xml:space="preserve">The bilingual program standards were approved by the Commission on January 31, 2008.  </w:t>
      </w:r>
      <w:r w:rsidR="00A43FC4">
        <w:t xml:space="preserve">Subsequent legislation, </w:t>
      </w:r>
      <w:r>
        <w:t xml:space="preserve">Assembly Bill (AB) 1871, (Chap. 660, Stats. 2008) was signed by the Governor on September 30, </w:t>
      </w:r>
      <w:proofErr w:type="gramStart"/>
      <w:r>
        <w:t>2008</w:t>
      </w:r>
      <w:proofErr w:type="gramEnd"/>
      <w:r>
        <w:t xml:space="preserve"> enabling multiple routes to bilingual authorization.  These provisions provided for concurrent completion of bilingual authorization with a 2042 </w:t>
      </w:r>
      <w:r w:rsidRPr="00F35BF6">
        <w:t>program, completion after initial credentialing, and options for completion through a program, examination, or a combination of both. Program Sponsor Alert 09-06 (5/28/09) clarified for institutions the process for recommending candidates for authorization by using a combination of coursework and Commission-approved CTEL or CSET: LOTE examinations</w:t>
      </w:r>
      <w:r>
        <w:t xml:space="preserve"> are provided in </w:t>
      </w:r>
      <w:hyperlink r:id="rId19" w:history="1">
        <w:r w:rsidRPr="004A5EB2">
          <w:rPr>
            <w:rStyle w:val="Hyperlink"/>
          </w:rPr>
          <w:t>Program Sponsor Alert 09-06</w:t>
        </w:r>
      </w:hyperlink>
      <w:r>
        <w:t>.</w:t>
      </w:r>
      <w:r w:rsidRPr="00F35BF6">
        <w:t xml:space="preserve"> </w:t>
      </w:r>
    </w:p>
    <w:p w14:paraId="1DDDC6E1" w14:textId="77777777" w:rsidR="00A5063D" w:rsidRPr="00676F57" w:rsidRDefault="00A5063D" w:rsidP="00A5063D">
      <w:pPr>
        <w:jc w:val="both"/>
        <w:rPr>
          <w:vanish/>
          <w:specVanish/>
        </w:rPr>
      </w:pPr>
      <w:r>
        <w:t xml:space="preserve"> </w:t>
      </w:r>
    </w:p>
    <w:p w14:paraId="6023778F" w14:textId="77777777" w:rsidR="00A5063D" w:rsidRDefault="00A5063D" w:rsidP="00A5063D">
      <w:pPr>
        <w:jc w:val="both"/>
      </w:pPr>
      <w:r>
        <w:t xml:space="preserve"> </w:t>
      </w:r>
    </w:p>
    <w:p w14:paraId="4BAE9046" w14:textId="77777777" w:rsidR="00A5063D" w:rsidRDefault="00A5063D" w:rsidP="00A5063D">
      <w:pPr>
        <w:jc w:val="both"/>
        <w:rPr>
          <w:color w:val="0000FF"/>
        </w:rPr>
      </w:pPr>
      <w:hyperlink r:id="rId20" w:history="1">
        <w:r w:rsidRPr="004A5EB2">
          <w:rPr>
            <w:rStyle w:val="Hyperlink"/>
          </w:rPr>
          <w:t>Program Sponsor Alert 08-09</w:t>
        </w:r>
      </w:hyperlink>
      <w:r>
        <w:t xml:space="preserve"> (10/29/08) informed institutions and BCLAD programs about the new bilingual program standards and related implementation timelines and processes and included the table of important dates included below. </w:t>
      </w:r>
    </w:p>
    <w:p w14:paraId="02E1B9C8" w14:textId="77777777" w:rsidR="00A5063D" w:rsidRDefault="00A5063D" w:rsidP="00A5063D">
      <w:pPr>
        <w:jc w:val="both"/>
      </w:pPr>
    </w:p>
    <w:p w14:paraId="28A0D3CC" w14:textId="77777777" w:rsidR="00A5063D" w:rsidRDefault="00A5063D" w:rsidP="00A5063D">
      <w:pPr>
        <w:jc w:val="both"/>
      </w:pPr>
      <w:hyperlink r:id="rId21" w:history="1">
        <w:r w:rsidRPr="004A5EB2">
          <w:rPr>
            <w:rStyle w:val="Hyperlink"/>
          </w:rPr>
          <w:t>Coded Correspondence 09-06</w:t>
        </w:r>
      </w:hyperlink>
      <w:r>
        <w:t xml:space="preserve"> (4/1/09) provided guidance on the implementation of Assembly Bill 1871 concerning Bilingual and English Learner Authorizations and clarifies credentialing procedures under the new program standards. </w:t>
      </w:r>
    </w:p>
    <w:p w14:paraId="3CE9FE0C" w14:textId="77777777" w:rsidR="00A5063D" w:rsidRDefault="00A5063D" w:rsidP="00A5063D"/>
    <w:p w14:paraId="77C3E108" w14:textId="77777777" w:rsidR="00A5063D" w:rsidRDefault="00A5063D" w:rsidP="00A5063D">
      <w:pPr>
        <w:jc w:val="both"/>
      </w:pPr>
      <w:r>
        <w:t xml:space="preserve">As indicated in the following table of important dates, December 31, </w:t>
      </w:r>
      <w:proofErr w:type="gramStart"/>
      <w:r>
        <w:t>2010</w:t>
      </w:r>
      <w:proofErr w:type="gramEnd"/>
      <w:r>
        <w:t xml:space="preserve"> was the last date that an individual could have been accepted into an institution’s program approved under the previous Bilingual emphasis program standards.  </w:t>
      </w:r>
    </w:p>
    <w:p w14:paraId="309CE578" w14:textId="77777777" w:rsidR="00A5063D" w:rsidRDefault="00A5063D" w:rsidP="00A5063D">
      <w:pPr>
        <w:jc w:val="both"/>
        <w:rPr>
          <w:color w:val="000000"/>
        </w:rPr>
      </w:pPr>
    </w:p>
    <w:p w14:paraId="0E1C0649" w14:textId="77777777" w:rsidR="00A5063D" w:rsidRDefault="00A5063D" w:rsidP="00A5063D">
      <w:pPr>
        <w:pStyle w:val="CM10"/>
        <w:spacing w:line="266" w:lineRule="atLeast"/>
        <w:jc w:val="both"/>
        <w:rPr>
          <w:color w:val="000000"/>
        </w:rPr>
      </w:pPr>
      <w:r>
        <w:rPr>
          <w:b/>
          <w:bCs/>
          <w:color w:val="000000"/>
        </w:rPr>
        <w:t xml:space="preserve">Important Dates: </w:t>
      </w:r>
    </w:p>
    <w:tbl>
      <w:tblPr>
        <w:tblW w:w="10260" w:type="dxa"/>
        <w:tblInd w:w="108" w:type="dxa"/>
        <w:tblBorders>
          <w:top w:val="nil"/>
          <w:left w:val="nil"/>
          <w:bottom w:val="nil"/>
          <w:right w:val="nil"/>
        </w:tblBorders>
        <w:tblLook w:val="0000" w:firstRow="0" w:lastRow="0" w:firstColumn="0" w:lastColumn="0" w:noHBand="0" w:noVBand="0"/>
      </w:tblPr>
      <w:tblGrid>
        <w:gridCol w:w="7470"/>
        <w:gridCol w:w="2790"/>
      </w:tblGrid>
      <w:tr w:rsidR="00A5063D" w14:paraId="7CA4735C" w14:textId="77777777" w:rsidTr="00BE6392">
        <w:tblPrEx>
          <w:tblCellMar>
            <w:top w:w="0" w:type="dxa"/>
            <w:bottom w:w="0" w:type="dxa"/>
          </w:tblCellMar>
        </w:tblPrEx>
        <w:trPr>
          <w:trHeight w:val="358"/>
        </w:trPr>
        <w:tc>
          <w:tcPr>
            <w:tcW w:w="7470" w:type="dxa"/>
            <w:tcBorders>
              <w:top w:val="single" w:sz="5" w:space="0" w:color="000000"/>
              <w:left w:val="single" w:sz="5" w:space="0" w:color="000000"/>
              <w:bottom w:val="single" w:sz="5" w:space="0" w:color="000000"/>
              <w:right w:val="single" w:sz="5" w:space="0" w:color="000000"/>
            </w:tcBorders>
          </w:tcPr>
          <w:p w14:paraId="6429E241" w14:textId="77777777" w:rsidR="00A5063D" w:rsidRDefault="00A5063D" w:rsidP="00BE6392">
            <w:pPr>
              <w:pStyle w:val="Default"/>
            </w:pPr>
            <w:r>
              <w:rPr>
                <w:b/>
                <w:bCs/>
              </w:rPr>
              <w:t>Activity</w:t>
            </w:r>
          </w:p>
        </w:tc>
        <w:tc>
          <w:tcPr>
            <w:tcW w:w="2790" w:type="dxa"/>
            <w:tcBorders>
              <w:top w:val="single" w:sz="5" w:space="0" w:color="000000"/>
              <w:left w:val="single" w:sz="5" w:space="0" w:color="000000"/>
              <w:bottom w:val="single" w:sz="5" w:space="0" w:color="000000"/>
              <w:right w:val="single" w:sz="5" w:space="0" w:color="000000"/>
            </w:tcBorders>
          </w:tcPr>
          <w:p w14:paraId="35D9B93F" w14:textId="77777777" w:rsidR="00A5063D" w:rsidRDefault="00A5063D" w:rsidP="00BE6392">
            <w:pPr>
              <w:pStyle w:val="Default"/>
            </w:pPr>
            <w:r>
              <w:rPr>
                <w:b/>
                <w:bCs/>
              </w:rPr>
              <w:t xml:space="preserve">Date </w:t>
            </w:r>
          </w:p>
        </w:tc>
      </w:tr>
      <w:tr w:rsidR="00A5063D" w14:paraId="274E38A6" w14:textId="77777777" w:rsidTr="00BE6392">
        <w:tblPrEx>
          <w:tblCellMar>
            <w:top w:w="0" w:type="dxa"/>
            <w:bottom w:w="0" w:type="dxa"/>
          </w:tblCellMar>
        </w:tblPrEx>
        <w:trPr>
          <w:trHeight w:val="345"/>
        </w:trPr>
        <w:tc>
          <w:tcPr>
            <w:tcW w:w="7470" w:type="dxa"/>
            <w:tcBorders>
              <w:top w:val="single" w:sz="5" w:space="0" w:color="000000"/>
              <w:left w:val="single" w:sz="5" w:space="0" w:color="000000"/>
              <w:bottom w:val="single" w:sz="5" w:space="0" w:color="000000"/>
              <w:right w:val="single" w:sz="5" w:space="0" w:color="000000"/>
            </w:tcBorders>
          </w:tcPr>
          <w:p w14:paraId="4BEA8995" w14:textId="77777777" w:rsidR="00A5063D" w:rsidRDefault="00A5063D" w:rsidP="00BE6392">
            <w:pPr>
              <w:pStyle w:val="Default"/>
            </w:pPr>
            <w:r>
              <w:t xml:space="preserve">Adoption of the proposed standards by the Commission </w:t>
            </w:r>
          </w:p>
        </w:tc>
        <w:tc>
          <w:tcPr>
            <w:tcW w:w="2790" w:type="dxa"/>
            <w:tcBorders>
              <w:top w:val="single" w:sz="5" w:space="0" w:color="000000"/>
              <w:left w:val="single" w:sz="5" w:space="0" w:color="000000"/>
              <w:bottom w:val="single" w:sz="5" w:space="0" w:color="000000"/>
              <w:right w:val="single" w:sz="5" w:space="0" w:color="000000"/>
            </w:tcBorders>
          </w:tcPr>
          <w:p w14:paraId="7FACE806" w14:textId="77777777" w:rsidR="00A5063D" w:rsidRDefault="00A5063D" w:rsidP="00BE6392">
            <w:pPr>
              <w:pStyle w:val="Default"/>
            </w:pPr>
            <w:r>
              <w:t xml:space="preserve">January 2008 </w:t>
            </w:r>
          </w:p>
        </w:tc>
      </w:tr>
      <w:tr w:rsidR="00A5063D" w14:paraId="458D9F71" w14:textId="77777777" w:rsidTr="00BE6392">
        <w:tblPrEx>
          <w:tblCellMar>
            <w:top w:w="0" w:type="dxa"/>
            <w:bottom w:w="0" w:type="dxa"/>
          </w:tblCellMar>
        </w:tblPrEx>
        <w:trPr>
          <w:trHeight w:val="625"/>
        </w:trPr>
        <w:tc>
          <w:tcPr>
            <w:tcW w:w="7470" w:type="dxa"/>
            <w:tcBorders>
              <w:top w:val="single" w:sz="5" w:space="0" w:color="000000"/>
              <w:left w:val="single" w:sz="5" w:space="0" w:color="000000"/>
              <w:bottom w:val="single" w:sz="5" w:space="0" w:color="000000"/>
              <w:right w:val="single" w:sz="5" w:space="0" w:color="000000"/>
            </w:tcBorders>
          </w:tcPr>
          <w:p w14:paraId="7EE0058D" w14:textId="77777777" w:rsidR="00A5063D" w:rsidRDefault="00A5063D" w:rsidP="00BE6392">
            <w:pPr>
              <w:pStyle w:val="Default"/>
            </w:pPr>
            <w:r>
              <w:t xml:space="preserve">Program planning and revision activities; document preparation began </w:t>
            </w:r>
          </w:p>
        </w:tc>
        <w:tc>
          <w:tcPr>
            <w:tcW w:w="2790" w:type="dxa"/>
            <w:tcBorders>
              <w:top w:val="single" w:sz="5" w:space="0" w:color="000000"/>
              <w:left w:val="single" w:sz="5" w:space="0" w:color="000000"/>
              <w:bottom w:val="single" w:sz="5" w:space="0" w:color="000000"/>
              <w:right w:val="single" w:sz="5" w:space="0" w:color="000000"/>
            </w:tcBorders>
          </w:tcPr>
          <w:p w14:paraId="7341FCD6" w14:textId="77777777" w:rsidR="00A5063D" w:rsidRDefault="00A5063D" w:rsidP="00BE6392">
            <w:pPr>
              <w:pStyle w:val="Default"/>
            </w:pPr>
            <w:r>
              <w:t xml:space="preserve">October 2008 </w:t>
            </w:r>
          </w:p>
        </w:tc>
      </w:tr>
      <w:tr w:rsidR="00A5063D" w14:paraId="0C090F47" w14:textId="77777777" w:rsidTr="00BE6392">
        <w:tblPrEx>
          <w:tblCellMar>
            <w:top w:w="0" w:type="dxa"/>
            <w:bottom w:w="0" w:type="dxa"/>
          </w:tblCellMar>
        </w:tblPrEx>
        <w:trPr>
          <w:trHeight w:val="345"/>
        </w:trPr>
        <w:tc>
          <w:tcPr>
            <w:tcW w:w="7470" w:type="dxa"/>
            <w:tcBorders>
              <w:top w:val="single" w:sz="5" w:space="0" w:color="000000"/>
              <w:left w:val="single" w:sz="5" w:space="0" w:color="000000"/>
              <w:bottom w:val="single" w:sz="5" w:space="0" w:color="000000"/>
              <w:right w:val="single" w:sz="5" w:space="0" w:color="000000"/>
            </w:tcBorders>
          </w:tcPr>
          <w:p w14:paraId="652A9C13" w14:textId="77777777" w:rsidR="00A5063D" w:rsidRDefault="00A5063D" w:rsidP="00BE6392">
            <w:pPr>
              <w:pStyle w:val="Default"/>
            </w:pPr>
            <w:r>
              <w:t>AB 1871 (</w:t>
            </w:r>
            <w:proofErr w:type="spellStart"/>
            <w:r>
              <w:t>Coto</w:t>
            </w:r>
            <w:proofErr w:type="spellEnd"/>
            <w:r>
              <w:t xml:space="preserve">) took effect </w:t>
            </w:r>
          </w:p>
        </w:tc>
        <w:tc>
          <w:tcPr>
            <w:tcW w:w="2790" w:type="dxa"/>
            <w:tcBorders>
              <w:top w:val="single" w:sz="5" w:space="0" w:color="000000"/>
              <w:left w:val="single" w:sz="5" w:space="0" w:color="000000"/>
              <w:bottom w:val="single" w:sz="5" w:space="0" w:color="000000"/>
              <w:right w:val="single" w:sz="5" w:space="0" w:color="000000"/>
            </w:tcBorders>
          </w:tcPr>
          <w:p w14:paraId="2EB25F91" w14:textId="77777777" w:rsidR="00A5063D" w:rsidRDefault="00A5063D" w:rsidP="00BE6392">
            <w:pPr>
              <w:pStyle w:val="Default"/>
            </w:pPr>
            <w:r>
              <w:t xml:space="preserve">January 1, </w:t>
            </w:r>
            <w:proofErr w:type="gramStart"/>
            <w:r>
              <w:t>2009</w:t>
            </w:r>
            <w:proofErr w:type="gramEnd"/>
            <w:r>
              <w:t xml:space="preserve"> </w:t>
            </w:r>
          </w:p>
        </w:tc>
      </w:tr>
      <w:tr w:rsidR="00A5063D" w14:paraId="53BB5AE0" w14:textId="77777777" w:rsidTr="00BE6392">
        <w:tblPrEx>
          <w:tblCellMar>
            <w:top w:w="0" w:type="dxa"/>
            <w:bottom w:w="0" w:type="dxa"/>
          </w:tblCellMar>
        </w:tblPrEx>
        <w:trPr>
          <w:trHeight w:val="620"/>
        </w:trPr>
        <w:tc>
          <w:tcPr>
            <w:tcW w:w="7470" w:type="dxa"/>
            <w:tcBorders>
              <w:top w:val="single" w:sz="5" w:space="0" w:color="000000"/>
              <w:left w:val="single" w:sz="5" w:space="0" w:color="000000"/>
              <w:bottom w:val="single" w:sz="5" w:space="0" w:color="000000"/>
              <w:right w:val="single" w:sz="5" w:space="0" w:color="000000"/>
            </w:tcBorders>
          </w:tcPr>
          <w:p w14:paraId="529BC2DA" w14:textId="77777777" w:rsidR="00A5063D" w:rsidRDefault="00A5063D" w:rsidP="00BE6392">
            <w:pPr>
              <w:pStyle w:val="Default"/>
            </w:pPr>
            <w:r>
              <w:t xml:space="preserve">Process for review of institutional program documents submitted for approval, including training program reviewers </w:t>
            </w:r>
          </w:p>
        </w:tc>
        <w:tc>
          <w:tcPr>
            <w:tcW w:w="2790" w:type="dxa"/>
            <w:tcBorders>
              <w:top w:val="single" w:sz="5" w:space="0" w:color="000000"/>
              <w:left w:val="single" w:sz="5" w:space="0" w:color="000000"/>
              <w:bottom w:val="single" w:sz="5" w:space="0" w:color="000000"/>
              <w:right w:val="single" w:sz="5" w:space="0" w:color="000000"/>
            </w:tcBorders>
          </w:tcPr>
          <w:p w14:paraId="3C8EF78B" w14:textId="77777777" w:rsidR="00A5063D" w:rsidRDefault="00A5063D" w:rsidP="00BE6392">
            <w:pPr>
              <w:pStyle w:val="Default"/>
            </w:pPr>
            <w:r>
              <w:t xml:space="preserve">January 2009 and ongoing </w:t>
            </w:r>
          </w:p>
        </w:tc>
      </w:tr>
      <w:tr w:rsidR="00A5063D" w14:paraId="407B0325" w14:textId="77777777" w:rsidTr="00BE6392">
        <w:tblPrEx>
          <w:tblCellMar>
            <w:top w:w="0" w:type="dxa"/>
            <w:bottom w:w="0" w:type="dxa"/>
          </w:tblCellMar>
        </w:tblPrEx>
        <w:trPr>
          <w:trHeight w:val="345"/>
        </w:trPr>
        <w:tc>
          <w:tcPr>
            <w:tcW w:w="7470" w:type="dxa"/>
            <w:tcBorders>
              <w:top w:val="single" w:sz="5" w:space="0" w:color="000000"/>
              <w:left w:val="single" w:sz="5" w:space="0" w:color="000000"/>
              <w:bottom w:val="single" w:sz="5" w:space="0" w:color="000000"/>
              <w:right w:val="single" w:sz="5" w:space="0" w:color="000000"/>
            </w:tcBorders>
          </w:tcPr>
          <w:p w14:paraId="559A12DF" w14:textId="77777777" w:rsidR="00A5063D" w:rsidRDefault="00A5063D" w:rsidP="00BE6392">
            <w:pPr>
              <w:pStyle w:val="Default"/>
            </w:pPr>
            <w:r>
              <w:t xml:space="preserve">COA approval of revised programs for bilingual authorization </w:t>
            </w:r>
          </w:p>
        </w:tc>
        <w:tc>
          <w:tcPr>
            <w:tcW w:w="2790" w:type="dxa"/>
            <w:tcBorders>
              <w:top w:val="single" w:sz="5" w:space="0" w:color="000000"/>
              <w:left w:val="single" w:sz="5" w:space="0" w:color="000000"/>
              <w:bottom w:val="single" w:sz="5" w:space="0" w:color="000000"/>
              <w:right w:val="single" w:sz="5" w:space="0" w:color="000000"/>
            </w:tcBorders>
          </w:tcPr>
          <w:p w14:paraId="12D2EA81" w14:textId="77777777" w:rsidR="00A5063D" w:rsidRDefault="00A5063D" w:rsidP="00BE6392">
            <w:pPr>
              <w:pStyle w:val="Default"/>
            </w:pPr>
            <w:r>
              <w:t xml:space="preserve">April 2009 and ongoing </w:t>
            </w:r>
          </w:p>
        </w:tc>
      </w:tr>
      <w:tr w:rsidR="00A5063D" w14:paraId="15BF53D6" w14:textId="77777777" w:rsidTr="00BE6392">
        <w:tblPrEx>
          <w:tblCellMar>
            <w:top w:w="0" w:type="dxa"/>
            <w:bottom w:w="0" w:type="dxa"/>
          </w:tblCellMar>
        </w:tblPrEx>
        <w:trPr>
          <w:trHeight w:val="591"/>
        </w:trPr>
        <w:tc>
          <w:tcPr>
            <w:tcW w:w="7470" w:type="dxa"/>
            <w:tcBorders>
              <w:top w:val="single" w:sz="5" w:space="0" w:color="000000"/>
              <w:left w:val="single" w:sz="5" w:space="0" w:color="000000"/>
              <w:bottom w:val="single" w:sz="5" w:space="0" w:color="000000"/>
              <w:right w:val="single" w:sz="5" w:space="0" w:color="000000"/>
            </w:tcBorders>
          </w:tcPr>
          <w:p w14:paraId="4A3489B1" w14:textId="77777777" w:rsidR="00A5063D" w:rsidRDefault="00A5063D" w:rsidP="00BE6392">
            <w:pPr>
              <w:pStyle w:val="Default"/>
            </w:pPr>
            <w:r>
              <w:t xml:space="preserve">Last date candidates could have been accepted into programs approved under the Bilingual Emphasis program standards </w:t>
            </w:r>
          </w:p>
        </w:tc>
        <w:tc>
          <w:tcPr>
            <w:tcW w:w="2790" w:type="dxa"/>
            <w:tcBorders>
              <w:top w:val="single" w:sz="5" w:space="0" w:color="000000"/>
              <w:left w:val="single" w:sz="5" w:space="0" w:color="000000"/>
              <w:bottom w:val="single" w:sz="5" w:space="0" w:color="000000"/>
              <w:right w:val="single" w:sz="5" w:space="0" w:color="000000"/>
            </w:tcBorders>
          </w:tcPr>
          <w:p w14:paraId="5C9330AD" w14:textId="77777777" w:rsidR="00A5063D" w:rsidRDefault="00A5063D" w:rsidP="00BE6392">
            <w:pPr>
              <w:pStyle w:val="Default"/>
            </w:pPr>
            <w:r>
              <w:t xml:space="preserve">December 31, </w:t>
            </w:r>
            <w:proofErr w:type="gramStart"/>
            <w:r>
              <w:t>2010</w:t>
            </w:r>
            <w:proofErr w:type="gramEnd"/>
            <w:r>
              <w:t xml:space="preserve"> </w:t>
            </w:r>
          </w:p>
        </w:tc>
      </w:tr>
      <w:tr w:rsidR="00A5063D" w14:paraId="7BA8ABE9" w14:textId="77777777" w:rsidTr="00BE6392">
        <w:tblPrEx>
          <w:tblCellMar>
            <w:top w:w="0" w:type="dxa"/>
            <w:bottom w:w="0" w:type="dxa"/>
          </w:tblCellMar>
        </w:tblPrEx>
        <w:trPr>
          <w:trHeight w:val="618"/>
        </w:trPr>
        <w:tc>
          <w:tcPr>
            <w:tcW w:w="7470" w:type="dxa"/>
            <w:tcBorders>
              <w:top w:val="single" w:sz="5" w:space="0" w:color="000000"/>
              <w:left w:val="single" w:sz="5" w:space="0" w:color="000000"/>
              <w:bottom w:val="single" w:sz="5" w:space="0" w:color="000000"/>
              <w:right w:val="single" w:sz="5" w:space="0" w:color="000000"/>
            </w:tcBorders>
          </w:tcPr>
          <w:p w14:paraId="67FFFD4D" w14:textId="77777777" w:rsidR="00A5063D" w:rsidRDefault="00A5063D" w:rsidP="00BE6392">
            <w:pPr>
              <w:pStyle w:val="Default"/>
            </w:pPr>
            <w:r>
              <w:t>Programs that have not been approved under the revised Bilingual Program Standards (2008) have expired.</w:t>
            </w:r>
          </w:p>
        </w:tc>
        <w:tc>
          <w:tcPr>
            <w:tcW w:w="2790" w:type="dxa"/>
            <w:tcBorders>
              <w:top w:val="single" w:sz="5" w:space="0" w:color="000000"/>
              <w:left w:val="single" w:sz="5" w:space="0" w:color="000000"/>
              <w:bottom w:val="single" w:sz="5" w:space="0" w:color="000000"/>
              <w:right w:val="single" w:sz="5" w:space="0" w:color="000000"/>
            </w:tcBorders>
          </w:tcPr>
          <w:p w14:paraId="62A55487" w14:textId="77777777" w:rsidR="00A5063D" w:rsidRDefault="00A5063D" w:rsidP="00BE6392">
            <w:pPr>
              <w:pStyle w:val="Default"/>
            </w:pPr>
            <w:r>
              <w:t xml:space="preserve">December 31, </w:t>
            </w:r>
            <w:proofErr w:type="gramStart"/>
            <w:r>
              <w:t>2011</w:t>
            </w:r>
            <w:proofErr w:type="gramEnd"/>
            <w:r>
              <w:t xml:space="preserve"> </w:t>
            </w:r>
          </w:p>
        </w:tc>
      </w:tr>
    </w:tbl>
    <w:p w14:paraId="10D806EE" w14:textId="77777777" w:rsidR="00F26EF6" w:rsidRPr="00505FF7" w:rsidRDefault="00A5063D" w:rsidP="00C33610">
      <w:pPr>
        <w:pStyle w:val="Heading2"/>
      </w:pPr>
      <w:r>
        <w:br w:type="page"/>
      </w:r>
      <w:bookmarkStart w:id="38" w:name="_Toc337553970"/>
      <w:bookmarkStart w:id="39" w:name="_Toc135655550"/>
      <w:r w:rsidR="008E043A" w:rsidRPr="00F26EF6">
        <w:lastRenderedPageBreak/>
        <w:t>Section 1</w:t>
      </w:r>
      <w:r w:rsidR="00404390" w:rsidRPr="00F26EF6">
        <w:t xml:space="preserve">:  Standards of Quality and Effectiveness </w:t>
      </w:r>
      <w:bookmarkEnd w:id="34"/>
      <w:r w:rsidR="00505FF7">
        <w:t xml:space="preserve">- </w:t>
      </w:r>
      <w:r w:rsidR="00F26EF6" w:rsidRPr="00505FF7">
        <w:rPr>
          <w:i/>
        </w:rPr>
        <w:t>Preconditions, Common Standards and Program Standards</w:t>
      </w:r>
      <w:bookmarkEnd w:id="38"/>
      <w:bookmarkEnd w:id="39"/>
    </w:p>
    <w:p w14:paraId="4A8E808C" w14:textId="77777777" w:rsidR="00404390" w:rsidRDefault="00404390" w:rsidP="00404390">
      <w:pPr>
        <w:jc w:val="both"/>
      </w:pPr>
    </w:p>
    <w:p w14:paraId="57E65B84" w14:textId="77777777" w:rsidR="00404390" w:rsidRDefault="00404390" w:rsidP="00404390">
      <w:pPr>
        <w:jc w:val="both"/>
      </w:pPr>
      <w:r w:rsidRPr="00EB645D">
        <w:t xml:space="preserve">California state law authorizes the </w:t>
      </w:r>
      <w:r>
        <w:t>Commission</w:t>
      </w:r>
      <w:r w:rsidRPr="00EB645D">
        <w:t xml:space="preserve"> on Teacher Credentialing to set standards and requirements for preparation of California teachers</w:t>
      </w:r>
      <w:r w:rsidR="00C67A5F">
        <w:t>.</w:t>
      </w:r>
      <w:r w:rsidRPr="00EB645D">
        <w:t xml:space="preserve">  </w:t>
      </w:r>
      <w:r w:rsidR="00A5063D">
        <w:t>These include:</w:t>
      </w:r>
    </w:p>
    <w:p w14:paraId="3B51BCEE" w14:textId="77777777" w:rsidR="00404390" w:rsidRDefault="00404390" w:rsidP="00404390">
      <w:pPr>
        <w:jc w:val="both"/>
      </w:pPr>
    </w:p>
    <w:p w14:paraId="49C9D878" w14:textId="77777777" w:rsidR="00922239" w:rsidRDefault="00404390" w:rsidP="008E043A">
      <w:pPr>
        <w:numPr>
          <w:ilvl w:val="0"/>
          <w:numId w:val="1"/>
        </w:numPr>
        <w:jc w:val="both"/>
      </w:pPr>
      <w:r w:rsidRPr="00922239">
        <w:rPr>
          <w:b/>
        </w:rPr>
        <w:t>Preconditions</w:t>
      </w:r>
      <w:r w:rsidRPr="00922239">
        <w:t xml:space="preserve"> established by State law or Commission policy must be met as a prerequisite to program accreditation. A precondition is a requirement for initial and continued program approval. Unlike standards, preconditions specify requirements for program compliance, not program quality. Commission staff</w:t>
      </w:r>
      <w:r w:rsidR="00922239">
        <w:t xml:space="preserve"> members</w:t>
      </w:r>
      <w:r w:rsidRPr="00922239">
        <w:t xml:space="preserve"> determine whether a program complies with the adopted preconditions </w:t>
      </w:r>
      <w:proofErr w:type="gramStart"/>
      <w:r w:rsidRPr="00922239">
        <w:t>on the basis of</w:t>
      </w:r>
      <w:proofErr w:type="gramEnd"/>
      <w:r w:rsidRPr="00922239">
        <w:t xml:space="preserve"> a program document provided by the college or university.  In the program review sequence, a program that meets all preconditions is eligible for a more intensive review to determi</w:t>
      </w:r>
      <w:smartTag w:uri="urn:schemas-microsoft-com:office:smarttags" w:element="PersonName">
        <w:r w:rsidRPr="00922239">
          <w:t>ne</w:t>
        </w:r>
      </w:smartTag>
      <w:r w:rsidRPr="00922239">
        <w:t xml:space="preserve"> whether the program's quality satisfies the Commission's standards.  </w:t>
      </w:r>
    </w:p>
    <w:p w14:paraId="5F823D8C" w14:textId="77777777" w:rsidR="00404390" w:rsidRPr="0086168C" w:rsidRDefault="00404390" w:rsidP="00922239">
      <w:pPr>
        <w:ind w:left="360"/>
        <w:jc w:val="both"/>
        <w:rPr>
          <w:color w:val="0000FF"/>
        </w:rPr>
      </w:pPr>
    </w:p>
    <w:p w14:paraId="2280086A" w14:textId="77777777" w:rsidR="008E043A" w:rsidRDefault="00404390" w:rsidP="008E043A">
      <w:pPr>
        <w:numPr>
          <w:ilvl w:val="0"/>
          <w:numId w:val="1"/>
        </w:numPr>
        <w:tabs>
          <w:tab w:val="left" w:pos="1800"/>
        </w:tabs>
        <w:jc w:val="both"/>
      </w:pPr>
      <w:r w:rsidRPr="00AF3134">
        <w:rPr>
          <w:b/>
        </w:rPr>
        <w:t>Common Standards</w:t>
      </w:r>
      <w:r w:rsidRPr="00AF3134">
        <w:t xml:space="preserve"> of pro</w:t>
      </w:r>
      <w:r w:rsidR="006E58EE">
        <w:t xml:space="preserve">gram quality and effectiveness </w:t>
      </w:r>
      <w:r w:rsidRPr="00AF3134">
        <w:t>app</w:t>
      </w:r>
      <w:r>
        <w:t>ly to all credential programs.</w:t>
      </w:r>
      <w:r w:rsidRPr="00AF3134">
        <w:t xml:space="preserve">  This category includes standards regarding the overall leadership and climate for educator preparation </w:t>
      </w:r>
      <w:r w:rsidR="00070287">
        <w:t xml:space="preserve">within the unit </w:t>
      </w:r>
      <w:r w:rsidRPr="00AF3134">
        <w:t>at an institution, as well as standards pertaining to quality features that are common to all programs such as resources, coordinati</w:t>
      </w:r>
      <w:r>
        <w:t xml:space="preserve">on, </w:t>
      </w:r>
      <w:proofErr w:type="gramStart"/>
      <w:r>
        <w:t>admissions</w:t>
      </w:r>
      <w:proofErr w:type="gramEnd"/>
      <w:r>
        <w:t xml:space="preserve"> and advisement. The </w:t>
      </w:r>
      <w:hyperlink r:id="rId22" w:history="1">
        <w:r w:rsidRPr="00C3273E">
          <w:rPr>
            <w:rStyle w:val="Hyperlink"/>
          </w:rPr>
          <w:t xml:space="preserve">Common Standards are available </w:t>
        </w:r>
        <w:r w:rsidR="00C3273E" w:rsidRPr="00C3273E">
          <w:rPr>
            <w:rStyle w:val="Hyperlink"/>
          </w:rPr>
          <w:t>here</w:t>
        </w:r>
      </w:hyperlink>
      <w:r w:rsidR="00C3273E">
        <w:t>, and are discussed in section three of this document.</w:t>
      </w:r>
    </w:p>
    <w:p w14:paraId="24CF9B35" w14:textId="77777777" w:rsidR="00B57C1F" w:rsidRDefault="00B57C1F" w:rsidP="00B57C1F">
      <w:pPr>
        <w:tabs>
          <w:tab w:val="left" w:pos="1800"/>
        </w:tabs>
        <w:jc w:val="both"/>
      </w:pPr>
    </w:p>
    <w:p w14:paraId="4B820BC8" w14:textId="77777777" w:rsidR="00404390" w:rsidRDefault="00404390" w:rsidP="00404390">
      <w:pPr>
        <w:numPr>
          <w:ilvl w:val="0"/>
          <w:numId w:val="1"/>
        </w:numPr>
        <w:jc w:val="both"/>
      </w:pPr>
      <w:r w:rsidRPr="00AF3134">
        <w:rPr>
          <w:b/>
        </w:rPr>
        <w:t>Program Standards</w:t>
      </w:r>
      <w:r w:rsidRPr="00AF3134">
        <w:t xml:space="preserve"> address the quality of program features that are specific to a credential, such as </w:t>
      </w:r>
      <w:r w:rsidR="00070287">
        <w:t xml:space="preserve">program design, </w:t>
      </w:r>
      <w:r w:rsidRPr="00AF3134">
        <w:t xml:space="preserve">curriculum, field experiences, and knowledge and skills to be demonstrated by candidates in the specific credential area.  When institutions prepare for continuing accreditation reviews, they may consider from among </w:t>
      </w:r>
      <w:r>
        <w:t>three</w:t>
      </w:r>
      <w:r w:rsidRPr="00AF3134">
        <w:t xml:space="preserve"> Commission-approved options for program-specific standards.  The </w:t>
      </w:r>
      <w:r>
        <w:t>three</w:t>
      </w:r>
      <w:r w:rsidRPr="00AF3134">
        <w:t xml:space="preserve"> options are</w:t>
      </w:r>
      <w:proofErr w:type="gramStart"/>
      <w:r w:rsidRPr="00AF3134">
        <w:t>:  (</w:t>
      </w:r>
      <w:proofErr w:type="gramEnd"/>
      <w:r w:rsidRPr="00AF3134">
        <w:t xml:space="preserve">1) California Program Standards, (2) National or Professional Program Standards, </w:t>
      </w:r>
      <w:r>
        <w:t>and (3</w:t>
      </w:r>
      <w:r w:rsidRPr="00AF3134">
        <w:t>) Experimenta</w:t>
      </w:r>
      <w:r>
        <w:t>l Program Standards</w:t>
      </w:r>
      <w:r w:rsidRPr="00AF3134">
        <w:t xml:space="preserve">.  Different options may be exercised by different credential programs at an institution.  </w:t>
      </w:r>
    </w:p>
    <w:p w14:paraId="570AD517" w14:textId="77777777" w:rsidR="00BC4F86" w:rsidRDefault="00BC4F86" w:rsidP="00BC4F86">
      <w:pPr>
        <w:jc w:val="both"/>
      </w:pPr>
    </w:p>
    <w:p w14:paraId="559DC09A" w14:textId="77777777" w:rsidR="00BC4F86" w:rsidRDefault="00404390" w:rsidP="00BC4F86">
      <w:pPr>
        <w:jc w:val="both"/>
      </w:pPr>
      <w:r w:rsidRPr="00070287">
        <w:t>Standards are statements of program quality that must be fulfilled for initial or continued approval of teacher preparation program</w:t>
      </w:r>
      <w:r w:rsidR="00BC4F86" w:rsidRPr="00070287">
        <w:t>s</w:t>
      </w:r>
      <w:r w:rsidRPr="00070287">
        <w:t xml:space="preserve"> by the Commission.  </w:t>
      </w:r>
      <w:r w:rsidR="00397671">
        <w:t xml:space="preserve">The Commission adopts program standards and in </w:t>
      </w:r>
      <w:r w:rsidR="00CA49DE">
        <w:t>January 2008</w:t>
      </w:r>
      <w:r w:rsidR="00397671">
        <w:t xml:space="preserve"> the Commission adopted the Bilingual Authorization program standards. </w:t>
      </w:r>
      <w:r w:rsidRPr="00070287">
        <w:t>In each standard the Commission has de</w:t>
      </w:r>
      <w:r w:rsidR="00CA49DE">
        <w:t xml:space="preserve">tailed the minimum programmatic inputs and </w:t>
      </w:r>
      <w:r w:rsidR="00CB5676">
        <w:t xml:space="preserve">minimum </w:t>
      </w:r>
      <w:r w:rsidR="00CA49DE">
        <w:t>candidate competencies required for approval of a program.</w:t>
      </w:r>
    </w:p>
    <w:p w14:paraId="1FF2A758" w14:textId="77777777" w:rsidR="00BC4F86" w:rsidRDefault="00BC4F86" w:rsidP="00BC4F86">
      <w:pPr>
        <w:ind w:left="360"/>
        <w:jc w:val="both"/>
      </w:pPr>
    </w:p>
    <w:p w14:paraId="3B0A94D0" w14:textId="77777777" w:rsidR="00BC4F86" w:rsidRPr="00EB645D" w:rsidRDefault="00404390" w:rsidP="00BC4F86">
      <w:pPr>
        <w:jc w:val="both"/>
      </w:pPr>
      <w:r w:rsidRPr="00EB645D">
        <w:t>The Commission determi</w:t>
      </w:r>
      <w:smartTag w:uri="urn:schemas-microsoft-com:office:smarttags" w:element="PersonName">
        <w:r w:rsidRPr="00EB645D">
          <w:t>ne</w:t>
        </w:r>
      </w:smartTag>
      <w:r w:rsidRPr="00EB645D">
        <w:t xml:space="preserve">s whether a program satisfies a standard </w:t>
      </w:r>
      <w:proofErr w:type="gramStart"/>
      <w:r w:rsidRPr="00EB645D">
        <w:t>on the basis of</w:t>
      </w:r>
      <w:proofErr w:type="gramEnd"/>
      <w:r w:rsidRPr="00EB645D">
        <w:t xml:space="preserve"> an intensive review of all available information related to the standard.</w:t>
      </w:r>
      <w:r>
        <w:t xml:space="preserve"> </w:t>
      </w:r>
      <w:r w:rsidR="00BC4F86" w:rsidRPr="00EB645D">
        <w:t xml:space="preserve">Program reviewers selected by the </w:t>
      </w:r>
      <w:r w:rsidR="00397671">
        <w:t>Executive Director</w:t>
      </w:r>
      <w:r w:rsidR="00BC4F86" w:rsidRPr="00EB645D">
        <w:t xml:space="preserve"> must find that a program meets each </w:t>
      </w:r>
      <w:r w:rsidR="0022763A">
        <w:t xml:space="preserve">Commission </w:t>
      </w:r>
      <w:r w:rsidR="00397671">
        <w:t xml:space="preserve">adopted </w:t>
      </w:r>
      <w:r w:rsidR="00BC4F86" w:rsidRPr="00EB645D">
        <w:t>standard.  When the</w:t>
      </w:r>
      <w:r w:rsidR="0022763A">
        <w:t xml:space="preserve"> program has been deemed to meet all adopted standards</w:t>
      </w:r>
      <w:r w:rsidR="00BC4F86" w:rsidRPr="00EB645D">
        <w:t xml:space="preserve">, </w:t>
      </w:r>
      <w:r w:rsidR="00BC4F86">
        <w:t>the</w:t>
      </w:r>
      <w:r w:rsidR="00397671">
        <w:t xml:space="preserve"> program is recommended for approval to the COA, and the COA</w:t>
      </w:r>
      <w:r w:rsidR="00C3273E">
        <w:t xml:space="preserve"> determines whether to approve</w:t>
      </w:r>
      <w:r w:rsidR="00BC4F86" w:rsidRPr="00EB645D">
        <w:t xml:space="preserve"> the program.</w:t>
      </w:r>
    </w:p>
    <w:p w14:paraId="1FFBD218" w14:textId="77777777" w:rsidR="00BC4F86" w:rsidRDefault="00BC4F86" w:rsidP="00BC4F86">
      <w:pPr>
        <w:ind w:left="360"/>
        <w:rPr>
          <w:b/>
          <w:color w:val="000000"/>
        </w:rPr>
      </w:pPr>
    </w:p>
    <w:p w14:paraId="1AB7B717" w14:textId="77777777" w:rsidR="00BC4F86" w:rsidRDefault="006E58EE" w:rsidP="00215566">
      <w:pPr>
        <w:jc w:val="both"/>
        <w:rPr>
          <w:color w:val="0D2DFF"/>
          <w:u w:val="single"/>
        </w:rPr>
      </w:pPr>
      <w:r>
        <w:rPr>
          <w:color w:val="000000"/>
        </w:rPr>
        <w:t>This handbook specifically addresses program standards for programs leading to bilingual authorization</w:t>
      </w:r>
      <w:r w:rsidR="00B57C1F">
        <w:rPr>
          <w:color w:val="000000"/>
        </w:rPr>
        <w:t xml:space="preserve">. </w:t>
      </w:r>
      <w:r w:rsidR="00846402">
        <w:rPr>
          <w:color w:val="000000"/>
        </w:rPr>
        <w:t>The bilingual program standards have been designed to address current research and methodologies in bilingual education</w:t>
      </w:r>
      <w:r w:rsidR="00070287">
        <w:rPr>
          <w:color w:val="000000"/>
        </w:rPr>
        <w:t>. T</w:t>
      </w:r>
      <w:r w:rsidR="00B57C1F">
        <w:rPr>
          <w:color w:val="000000"/>
        </w:rPr>
        <w:t>he</w:t>
      </w:r>
      <w:r w:rsidR="00846402">
        <w:rPr>
          <w:color w:val="000000"/>
        </w:rPr>
        <w:t xml:space="preserve">se </w:t>
      </w:r>
      <w:r w:rsidR="00B57C1F">
        <w:rPr>
          <w:color w:val="000000"/>
        </w:rPr>
        <w:t xml:space="preserve">program standards are available in Appendix </w:t>
      </w:r>
      <w:r w:rsidR="003344AD">
        <w:rPr>
          <w:color w:val="000000"/>
        </w:rPr>
        <w:t>A</w:t>
      </w:r>
      <w:r w:rsidR="00B57C1F">
        <w:rPr>
          <w:color w:val="000000"/>
        </w:rPr>
        <w:t>.</w:t>
      </w:r>
      <w:r w:rsidRPr="006E58EE">
        <w:rPr>
          <w:color w:val="0D2DFF"/>
          <w:u w:val="single"/>
        </w:rPr>
        <w:t xml:space="preserve"> </w:t>
      </w:r>
    </w:p>
    <w:p w14:paraId="14F7B511" w14:textId="77777777" w:rsidR="00404390" w:rsidRPr="00E037BD" w:rsidRDefault="00846402" w:rsidP="00E05B44">
      <w:pPr>
        <w:pStyle w:val="Heading2"/>
      </w:pPr>
      <w:r>
        <w:br w:type="page"/>
      </w:r>
      <w:bookmarkStart w:id="40" w:name="Section_2"/>
      <w:bookmarkStart w:id="41" w:name="_Toc337553971"/>
      <w:bookmarkStart w:id="42" w:name="_Toc135655551"/>
      <w:r w:rsidR="008E043A" w:rsidRPr="00E037BD">
        <w:lastRenderedPageBreak/>
        <w:t xml:space="preserve">Section 2:  </w:t>
      </w:r>
      <w:r w:rsidR="00404390" w:rsidRPr="00E037BD">
        <w:t>Conceptual Framework</w:t>
      </w:r>
      <w:r w:rsidR="008E043A" w:rsidRPr="00E037BD">
        <w:t xml:space="preserve"> for </w:t>
      </w:r>
      <w:r w:rsidR="00404390" w:rsidRPr="00E037BD">
        <w:t>Preparing California’s Bilingual Teachers</w:t>
      </w:r>
      <w:bookmarkEnd w:id="40"/>
      <w:bookmarkEnd w:id="41"/>
      <w:bookmarkEnd w:id="42"/>
    </w:p>
    <w:p w14:paraId="7DE9FA21" w14:textId="77777777" w:rsidR="008E043A" w:rsidRDefault="008E043A" w:rsidP="00A72CD6">
      <w:pPr>
        <w:jc w:val="both"/>
        <w:rPr>
          <w:b/>
        </w:rPr>
      </w:pPr>
    </w:p>
    <w:p w14:paraId="142DC398" w14:textId="77777777" w:rsidR="008E043A" w:rsidRDefault="008E043A" w:rsidP="00A72CD6">
      <w:pPr>
        <w:jc w:val="both"/>
        <w:rPr>
          <w:color w:val="000000"/>
        </w:rPr>
      </w:pPr>
      <w:r w:rsidRPr="0034143C">
        <w:t xml:space="preserve">Program </w:t>
      </w:r>
      <w:r w:rsidR="00CB5676">
        <w:t>s</w:t>
      </w:r>
      <w:r w:rsidRPr="0034143C">
        <w:t xml:space="preserve">tandards </w:t>
      </w:r>
      <w:r>
        <w:t xml:space="preserve">for the preparation of bilingual teachers </w:t>
      </w:r>
      <w:r w:rsidR="004F6882" w:rsidRPr="0065103E">
        <w:t>draw upon foundational and current research in three areas:</w:t>
      </w:r>
      <w:r w:rsidR="004F6882">
        <w:t xml:space="preserve"> </w:t>
      </w:r>
      <w:r>
        <w:t>t</w:t>
      </w:r>
      <w:r w:rsidRPr="0034143C">
        <w:t>he Context for Bilingual Education and Bilingualism</w:t>
      </w:r>
      <w:r>
        <w:t>,</w:t>
      </w:r>
      <w:r w:rsidRPr="0034143C">
        <w:t xml:space="preserve"> Bilingual Methodology</w:t>
      </w:r>
      <w:r w:rsidR="001C7DC5">
        <w:t>,</w:t>
      </w:r>
      <w:r>
        <w:t xml:space="preserve"> </w:t>
      </w:r>
      <w:r w:rsidRPr="0034143C">
        <w:t xml:space="preserve">and </w:t>
      </w:r>
      <w:r>
        <w:t>t</w:t>
      </w:r>
      <w:r w:rsidRPr="0034143C">
        <w:t xml:space="preserve">he Culture of Emphasis.  </w:t>
      </w:r>
    </w:p>
    <w:p w14:paraId="3AB55E95" w14:textId="77777777" w:rsidR="00404390" w:rsidRPr="0034143C" w:rsidRDefault="00404390" w:rsidP="00A72CD6">
      <w:pPr>
        <w:jc w:val="both"/>
        <w:rPr>
          <w:smallCaps/>
        </w:rPr>
      </w:pPr>
    </w:p>
    <w:p w14:paraId="5AFA5517" w14:textId="77777777" w:rsidR="00404390" w:rsidRPr="00F26EF6" w:rsidRDefault="00404390" w:rsidP="000B6372">
      <w:pPr>
        <w:pStyle w:val="Heading3"/>
      </w:pPr>
      <w:bookmarkStart w:id="43" w:name="S2_ContextforBE"/>
      <w:bookmarkStart w:id="44" w:name="_Toc337553972"/>
      <w:bookmarkStart w:id="45" w:name="_Toc135655552"/>
      <w:r w:rsidRPr="00F26EF6">
        <w:t>The Context for Bilingual Education and Bilingualism</w:t>
      </w:r>
      <w:bookmarkEnd w:id="44"/>
      <w:bookmarkEnd w:id="45"/>
    </w:p>
    <w:bookmarkEnd w:id="43"/>
    <w:p w14:paraId="509F40D3" w14:textId="77777777" w:rsidR="00404390" w:rsidRPr="0034143C" w:rsidRDefault="00404390" w:rsidP="00A72CD6">
      <w:pPr>
        <w:jc w:val="both"/>
        <w:rPr>
          <w:b/>
        </w:rPr>
      </w:pPr>
    </w:p>
    <w:p w14:paraId="0886C6F5" w14:textId="77777777" w:rsidR="00404390" w:rsidRPr="0034143C" w:rsidRDefault="00404390" w:rsidP="00A72CD6">
      <w:pPr>
        <w:tabs>
          <w:tab w:val="left" w:pos="360"/>
          <w:tab w:val="left" w:pos="720"/>
          <w:tab w:val="left" w:pos="1080"/>
          <w:tab w:val="left" w:pos="1440"/>
          <w:tab w:val="left" w:pos="1890"/>
        </w:tabs>
        <w:jc w:val="both"/>
        <w:rPr>
          <w:b/>
        </w:rPr>
      </w:pPr>
      <w:r w:rsidRPr="0034143C">
        <w:rPr>
          <w:b/>
        </w:rPr>
        <w:t xml:space="preserve">Historical, Theoretical and Legal Foundations for Bilingual Education in the United States </w:t>
      </w:r>
    </w:p>
    <w:p w14:paraId="358B527D" w14:textId="77777777" w:rsidR="00404390" w:rsidRPr="0034143C" w:rsidRDefault="00404390" w:rsidP="00A72CD6">
      <w:pPr>
        <w:jc w:val="both"/>
      </w:pPr>
      <w:r w:rsidRPr="0034143C">
        <w:t xml:space="preserve">Bilingual teacher preparation programs should ensure that teacher candidates are knowledgeable of the rich history regarding the use of languages in addition to English in our schools. Beginning with our nation’s inception, educators have employed languages of diverse linguistic communities in public and private schools throughout the U.S. (Kloss, </w:t>
      </w:r>
      <w:r w:rsidR="0065103E">
        <w:t>1998)</w:t>
      </w:r>
      <w:r w:rsidR="0056611C">
        <w:t>.</w:t>
      </w:r>
      <w:r w:rsidR="0065103E">
        <w:t xml:space="preserve"> </w:t>
      </w:r>
      <w:r w:rsidRPr="0034143C">
        <w:t>Historical and political events in our nation’s history significantly influenced the type and amount of instruction in languages other than English. (</w:t>
      </w:r>
      <w:smartTag w:uri="urn:schemas-microsoft-com:office:smarttags" w:element="PersonName">
        <w:r w:rsidRPr="0034143C">
          <w:t>Ma</w:t>
        </w:r>
      </w:smartTag>
      <w:r w:rsidRPr="0034143C">
        <w:t xml:space="preserve">lakoff &amp; </w:t>
      </w:r>
      <w:proofErr w:type="spellStart"/>
      <w:r w:rsidRPr="0034143C">
        <w:t>Hakuta</w:t>
      </w:r>
      <w:proofErr w:type="spellEnd"/>
      <w:r w:rsidRPr="0034143C">
        <w:t xml:space="preserve">, 1990, Brisk, 1998, Crawford, </w:t>
      </w:r>
      <w:r w:rsidRPr="00C31EC0">
        <w:t>19</w:t>
      </w:r>
      <w:r w:rsidR="00922239" w:rsidRPr="00C31EC0">
        <w:t>8</w:t>
      </w:r>
      <w:r w:rsidRPr="00C31EC0">
        <w:t>9).</w:t>
      </w:r>
      <w:r w:rsidRPr="0034143C">
        <w:t xml:space="preserve"> The Bilingual Education Act, Title VII of the Elementary and Secondary Education Act of 1968</w:t>
      </w:r>
      <w:r w:rsidR="00C77E4A" w:rsidRPr="0034143C">
        <w:t>, influenced</w:t>
      </w:r>
      <w:r w:rsidRPr="0034143C">
        <w:t xml:space="preserve"> states in developing policies to ensure equal educational opportunities for English Lear</w:t>
      </w:r>
      <w:smartTag w:uri="urn:schemas-microsoft-com:office:smarttags" w:element="PersonName">
        <w:r w:rsidRPr="0034143C">
          <w:t>ne</w:t>
        </w:r>
      </w:smartTag>
      <w:r w:rsidRPr="0034143C">
        <w:t xml:space="preserve">rs (EL). Federal court cases, such as Lau v. Nichols (1974) and </w:t>
      </w:r>
      <w:proofErr w:type="spellStart"/>
      <w:r w:rsidRPr="0034143C">
        <w:t>Castañeda</w:t>
      </w:r>
      <w:proofErr w:type="spellEnd"/>
      <w:r w:rsidRPr="0034143C">
        <w:t xml:space="preserve"> v Pickard (1981</w:t>
      </w:r>
      <w:r w:rsidR="0065103E" w:rsidRPr="0034143C">
        <w:t>) have</w:t>
      </w:r>
      <w:r w:rsidRPr="0034143C">
        <w:t xml:space="preserve"> had a significant impact on language and education polices in the U.S. </w:t>
      </w:r>
    </w:p>
    <w:p w14:paraId="3CE842B4" w14:textId="77777777" w:rsidR="00404390" w:rsidRPr="0034143C" w:rsidRDefault="00404390" w:rsidP="00A72CD6">
      <w:pPr>
        <w:jc w:val="both"/>
      </w:pPr>
    </w:p>
    <w:p w14:paraId="3553BD32" w14:textId="77777777" w:rsidR="00404390" w:rsidRPr="0034143C" w:rsidRDefault="00404390" w:rsidP="00A72CD6">
      <w:pPr>
        <w:jc w:val="both"/>
      </w:pPr>
      <w:r w:rsidRPr="0034143C">
        <w:t xml:space="preserve">Bilingual teacher candidates </w:t>
      </w:r>
      <w:smartTag w:uri="urn:schemas-microsoft-com:office:smarttags" w:element="PersonName">
        <w:r w:rsidRPr="0034143C">
          <w:t>ne</w:t>
        </w:r>
      </w:smartTag>
      <w:r w:rsidRPr="0034143C">
        <w:t xml:space="preserve">ed to demonstrate a clear understanding of the theoretical foundations, practices, and effects of both additive and deficit theories of bilingual education (Brisk, 1998, Baker, 2005).  Bilingual teacher candidates </w:t>
      </w:r>
      <w:smartTag w:uri="urn:schemas-microsoft-com:office:smarttags" w:element="PersonName">
        <w:r w:rsidRPr="0034143C">
          <w:t>ne</w:t>
        </w:r>
      </w:smartTag>
      <w:r w:rsidRPr="0034143C">
        <w:t xml:space="preserve">ed to be prepared to recognize and to teach in all bilingual program models; models serving students learning English, and </w:t>
      </w:r>
      <w:r>
        <w:t xml:space="preserve">models serving </w:t>
      </w:r>
      <w:r w:rsidRPr="0034143C">
        <w:t xml:space="preserve">English proficient students developing proficiency in a second language.  </w:t>
      </w:r>
    </w:p>
    <w:p w14:paraId="688DFDC7" w14:textId="77777777" w:rsidR="00404390" w:rsidRPr="0034143C" w:rsidRDefault="00404390" w:rsidP="00A72CD6">
      <w:pPr>
        <w:jc w:val="both"/>
        <w:rPr>
          <w:b/>
        </w:rPr>
      </w:pPr>
    </w:p>
    <w:p w14:paraId="2A4DBA99" w14:textId="77777777" w:rsidR="00404390" w:rsidRPr="0034143C" w:rsidRDefault="00404390" w:rsidP="00A72CD6">
      <w:pPr>
        <w:jc w:val="both"/>
        <w:rPr>
          <w:b/>
        </w:rPr>
      </w:pPr>
      <w:r w:rsidRPr="0034143C">
        <w:rPr>
          <w:b/>
        </w:rPr>
        <w:t xml:space="preserve">Bilingual Teacher Education in California:  Historical and Policy Perspectives </w:t>
      </w:r>
    </w:p>
    <w:p w14:paraId="02FC4A5D" w14:textId="77777777" w:rsidR="00404390" w:rsidRPr="0034143C" w:rsidRDefault="00404390" w:rsidP="00A72CD6">
      <w:pPr>
        <w:jc w:val="both"/>
      </w:pPr>
      <w:r w:rsidRPr="0034143C">
        <w:t>California has a 35-year history of preparing bilingual teachers. A series of bills beginning with Chacon-Mosco</w:t>
      </w:r>
      <w:smartTag w:uri="urn:schemas-microsoft-com:office:smarttags" w:element="PersonName">
        <w:r w:rsidRPr="0034143C">
          <w:t>ne</w:t>
        </w:r>
      </w:smartTag>
      <w:r w:rsidRPr="0034143C">
        <w:t xml:space="preserve"> AB 2284 (1972) and AB 1329 (1976), </w:t>
      </w:r>
      <w:r w:rsidR="0065103E" w:rsidRPr="0034143C">
        <w:t>and Chacon</w:t>
      </w:r>
      <w:r w:rsidRPr="0034143C">
        <w:t xml:space="preserve"> AB 507 (1980)</w:t>
      </w:r>
      <w:r w:rsidR="00372828" w:rsidRPr="0034143C">
        <w:t>, which</w:t>
      </w:r>
      <w:r w:rsidRPr="0034143C">
        <w:t xml:space="preserve"> sunset in 1987. Despite the sunset of AB 507, credentialing requirements </w:t>
      </w:r>
      <w:r w:rsidR="0065103E" w:rsidRPr="0034143C">
        <w:t>for bilingual</w:t>
      </w:r>
      <w:r w:rsidRPr="0034143C">
        <w:t xml:space="preserve"> teacher preparation in the state remai</w:t>
      </w:r>
      <w:smartTag w:uri="urn:schemas-microsoft-com:office:smarttags" w:element="PersonName">
        <w:r w:rsidRPr="0034143C">
          <w:t>ne</w:t>
        </w:r>
      </w:smartTag>
      <w:r w:rsidRPr="0034143C">
        <w:t>d intact. Pre-dating the historic Lau v. Nichols case of 1974, Chacon-Mosco</w:t>
      </w:r>
      <w:smartTag w:uri="urn:schemas-microsoft-com:office:smarttags" w:element="PersonName">
        <w:r w:rsidRPr="0034143C">
          <w:t>ne</w:t>
        </w:r>
      </w:smartTag>
      <w:r w:rsidRPr="0034143C">
        <w:t xml:space="preserve"> led to the establishment of policy guideli</w:t>
      </w:r>
      <w:smartTag w:uri="urn:schemas-microsoft-com:office:smarttags" w:element="PersonName">
        <w:r w:rsidRPr="0034143C">
          <w:t>ne</w:t>
        </w:r>
      </w:smartTag>
      <w:r w:rsidRPr="0034143C">
        <w:t>s by the California Department of Education (CDE) and the Commission on Teacher Credentialing (CTC)</w:t>
      </w:r>
      <w:r>
        <w:t>.  Policy Guidelines</w:t>
      </w:r>
      <w:r w:rsidRPr="0034143C">
        <w:t xml:space="preserve"> </w:t>
      </w:r>
      <w:r>
        <w:t>addressed</w:t>
      </w:r>
      <w:r w:rsidRPr="0034143C">
        <w:t xml:space="preserve"> compliance issues for K-12 bilingual programs and the adequate preparation of teachers respectively. These guideli</w:t>
      </w:r>
      <w:smartTag w:uri="urn:schemas-microsoft-com:office:smarttags" w:element="PersonName">
        <w:r w:rsidRPr="0034143C">
          <w:t>ne</w:t>
        </w:r>
      </w:smartTag>
      <w:r w:rsidRPr="0034143C">
        <w:t xml:space="preserve">s lasted well into the early 1990s, with the development of </w:t>
      </w:r>
      <w:proofErr w:type="spellStart"/>
      <w:r w:rsidRPr="0034143C">
        <w:t>Crosscultural</w:t>
      </w:r>
      <w:proofErr w:type="spellEnd"/>
      <w:r w:rsidRPr="0034143C">
        <w:t xml:space="preserve"> Language and Academic Development (CLAD) and Bilingual </w:t>
      </w:r>
      <w:proofErr w:type="spellStart"/>
      <w:r w:rsidRPr="0034143C">
        <w:t>Crosscultural</w:t>
      </w:r>
      <w:proofErr w:type="spellEnd"/>
      <w:r w:rsidRPr="0034143C">
        <w:t xml:space="preserve"> Language and Academic Development (BCLAD) authorizations as the first major reform in the preparation of teachers of ELs in California. This teacher education policy for ELs in the state continued until 2001, when SB 2042 updated teacher education standards in the state. Standards for both preliminary teacher preparation and induction guided the acquisition and application of knowledge, </w:t>
      </w:r>
      <w:proofErr w:type="gramStart"/>
      <w:r w:rsidRPr="0034143C">
        <w:t>skills</w:t>
      </w:r>
      <w:proofErr w:type="gramEnd"/>
      <w:r w:rsidRPr="0034143C">
        <w:t xml:space="preserve"> and abilities for teaching in K-12 classrooms.  The CLAD-BCLAD option was replaced with the mandate that </w:t>
      </w:r>
      <w:r w:rsidR="00C77E4A" w:rsidRPr="0034143C">
        <w:t xml:space="preserve">all </w:t>
      </w:r>
      <w:r w:rsidR="00CA49DE">
        <w:t xml:space="preserve">general </w:t>
      </w:r>
      <w:r w:rsidR="00C77E4A" w:rsidRPr="0034143C">
        <w:t>teacher</w:t>
      </w:r>
      <w:r w:rsidRPr="0034143C">
        <w:t xml:space="preserve"> preparation in the state would address the </w:t>
      </w:r>
      <w:smartTag w:uri="urn:schemas-microsoft-com:office:smarttags" w:element="PersonName">
        <w:r w:rsidRPr="0034143C">
          <w:t>ne</w:t>
        </w:r>
      </w:smartTag>
      <w:r w:rsidRPr="0034143C">
        <w:t>eds of ELs</w:t>
      </w:r>
      <w:r w:rsidR="00CA49DE">
        <w:t xml:space="preserve">. </w:t>
      </w:r>
      <w:r w:rsidRPr="0034143C">
        <w:t xml:space="preserve"> However, </w:t>
      </w:r>
      <w:proofErr w:type="gramStart"/>
      <w:r w:rsidR="00CA49DE">
        <w:t xml:space="preserve">the </w:t>
      </w:r>
      <w:r w:rsidRPr="0034143C">
        <w:t>SB</w:t>
      </w:r>
      <w:proofErr w:type="gramEnd"/>
      <w:r w:rsidRPr="0034143C">
        <w:t xml:space="preserve"> 2042 reform did not address the competencies, </w:t>
      </w:r>
      <w:proofErr w:type="gramStart"/>
      <w:r w:rsidRPr="0034143C">
        <w:t>skills</w:t>
      </w:r>
      <w:proofErr w:type="gramEnd"/>
      <w:r w:rsidRPr="0034143C">
        <w:t xml:space="preserve"> and standards for bilingual teacher preparation in the state. </w:t>
      </w:r>
      <w:r w:rsidR="00CA49DE">
        <w:t>The Commission</w:t>
      </w:r>
      <w:r w:rsidR="00CA49DE" w:rsidRPr="0034143C">
        <w:t xml:space="preserve"> </w:t>
      </w:r>
      <w:r w:rsidRPr="0034143C">
        <w:t xml:space="preserve">passed </w:t>
      </w:r>
      <w:r w:rsidR="00CA49DE">
        <w:t xml:space="preserve">an </w:t>
      </w:r>
      <w:r w:rsidRPr="0034143C">
        <w:t>interim policy continuing bilingual teacher preparation programs offering the BCLAD option</w:t>
      </w:r>
      <w:r w:rsidR="00CA49DE">
        <w:t xml:space="preserve"> until an </w:t>
      </w:r>
      <w:r w:rsidR="008B1252">
        <w:t>advisory</w:t>
      </w:r>
      <w:r w:rsidR="00CA49DE">
        <w:t xml:space="preserve"> panel addressed the issue</w:t>
      </w:r>
      <w:r w:rsidRPr="0034143C">
        <w:t>.</w:t>
      </w:r>
    </w:p>
    <w:p w14:paraId="23BD8FE7" w14:textId="77777777" w:rsidR="00404390" w:rsidRPr="0034143C" w:rsidRDefault="00404390" w:rsidP="00A72CD6">
      <w:pPr>
        <w:jc w:val="both"/>
      </w:pPr>
    </w:p>
    <w:p w14:paraId="3A465AA7" w14:textId="77777777" w:rsidR="00404390" w:rsidRPr="0034143C" w:rsidRDefault="00404390" w:rsidP="00A72CD6">
      <w:pPr>
        <w:jc w:val="both"/>
      </w:pPr>
      <w:r w:rsidRPr="0034143C">
        <w:t xml:space="preserve">Following the 1998 passage of Proposition 227 (California </w:t>
      </w:r>
      <w:r w:rsidRPr="0034143C">
        <w:rPr>
          <w:i/>
        </w:rPr>
        <w:t>Education Code</w:t>
      </w:r>
      <w:r w:rsidR="0065103E">
        <w:rPr>
          <w:i/>
        </w:rPr>
        <w:t xml:space="preserve"> </w:t>
      </w:r>
      <w:r w:rsidRPr="0034143C">
        <w:t xml:space="preserve">Sections 300-313), the number of EL students served by K-12 bilingual programs decreased from 30% in 1998 to 6% in 2007 (R-30, CDE). </w:t>
      </w:r>
      <w:smartTag w:uri="urn:schemas-microsoft-com:office:smarttags" w:element="PersonName">
        <w:r w:rsidRPr="0034143C">
          <w:t>Ma</w:t>
        </w:r>
      </w:smartTag>
      <w:r w:rsidRPr="0034143C">
        <w:t xml:space="preserve">ny universities eliminated bilingual teacher preparation programs. Since SB 2042 did not provide </w:t>
      </w:r>
      <w:r w:rsidRPr="0034143C">
        <w:lastRenderedPageBreak/>
        <w:t xml:space="preserve">recommendations for updating bilingual teacher preparation standards, </w:t>
      </w:r>
      <w:r w:rsidR="001D2AA1" w:rsidRPr="0034143C">
        <w:t>in 2005</w:t>
      </w:r>
      <w:r w:rsidR="001D2AA1">
        <w:t xml:space="preserve"> </w:t>
      </w:r>
      <w:r w:rsidRPr="0034143C">
        <w:t xml:space="preserve">the </w:t>
      </w:r>
      <w:r w:rsidR="00451E2A">
        <w:t>Commission</w:t>
      </w:r>
      <w:r w:rsidR="00451E2A" w:rsidRPr="0034143C">
        <w:t xml:space="preserve"> </w:t>
      </w:r>
      <w:r w:rsidRPr="0034143C">
        <w:t>conve</w:t>
      </w:r>
      <w:smartTag w:uri="urn:schemas-microsoft-com:office:smarttags" w:element="PersonName">
        <w:r w:rsidRPr="0034143C">
          <w:t>ne</w:t>
        </w:r>
      </w:smartTag>
      <w:r w:rsidRPr="0034143C">
        <w:t xml:space="preserve">d a Bilingual Certification Advisory Work Group The task for this group was to address policy concerns related to bilingual </w:t>
      </w:r>
      <w:proofErr w:type="gramStart"/>
      <w:r w:rsidRPr="0034143C">
        <w:t xml:space="preserve">authorization </w:t>
      </w:r>
      <w:r w:rsidR="00451E2A">
        <w:t xml:space="preserve"> in</w:t>
      </w:r>
      <w:proofErr w:type="gramEnd"/>
      <w:r w:rsidR="00451E2A">
        <w:t xml:space="preserve"> light of the </w:t>
      </w:r>
      <w:r w:rsidRPr="0034143C">
        <w:t>SB 2042</w:t>
      </w:r>
      <w:r w:rsidR="00451E2A">
        <w:t xml:space="preserve"> reform</w:t>
      </w:r>
      <w:r w:rsidRPr="0034143C">
        <w:t>. The Work Group was reconfigured and conve</w:t>
      </w:r>
      <w:smartTag w:uri="urn:schemas-microsoft-com:office:smarttags" w:element="PersonName">
        <w:r w:rsidRPr="0034143C">
          <w:t>ne</w:t>
        </w:r>
      </w:smartTag>
      <w:r w:rsidRPr="0034143C">
        <w:t>d in 2006 as the Bilingual Certification Design Team.  Th</w:t>
      </w:r>
      <w:r w:rsidR="00451E2A">
        <w:t>is</w:t>
      </w:r>
      <w:r w:rsidRPr="0034143C">
        <w:t xml:space="preserve"> group had two tasks: 1) to develop Knowledge, Skills, and Abilities (KSAs) that would inform the development of the BCLAD </w:t>
      </w:r>
      <w:r w:rsidR="0065103E">
        <w:t xml:space="preserve">Examinations </w:t>
      </w:r>
      <w:r w:rsidRPr="00451E2A">
        <w:t>(CSET: LOTE Test</w:t>
      </w:r>
      <w:r w:rsidR="0056611C" w:rsidRPr="00451E2A">
        <w:t xml:space="preserve">s </w:t>
      </w:r>
      <w:r w:rsidRPr="00451E2A">
        <w:t>III, IV, and V) and 2) to establish Bilingual Teacher Preparation Program</w:t>
      </w:r>
      <w:r w:rsidRPr="0034143C">
        <w:t xml:space="preserve"> Standards. </w:t>
      </w:r>
    </w:p>
    <w:p w14:paraId="381078F5" w14:textId="77777777" w:rsidR="00404390" w:rsidRPr="0034143C" w:rsidRDefault="00404390" w:rsidP="00A72CD6">
      <w:pPr>
        <w:jc w:val="both"/>
      </w:pPr>
    </w:p>
    <w:p w14:paraId="6AFD22FF" w14:textId="77777777" w:rsidR="00404390" w:rsidRPr="0034143C" w:rsidRDefault="00404390" w:rsidP="00A72CD6">
      <w:pPr>
        <w:jc w:val="both"/>
      </w:pPr>
      <w:r w:rsidRPr="0034143C">
        <w:t xml:space="preserve">The Bilingual Design Team </w:t>
      </w:r>
      <w:proofErr w:type="gramStart"/>
      <w:r w:rsidR="00451E2A">
        <w:t>recommended</w:t>
      </w:r>
      <w:proofErr w:type="gramEnd"/>
      <w:r w:rsidR="00451E2A">
        <w:t xml:space="preserve"> </w:t>
      </w:r>
      <w:r w:rsidRPr="0034143C">
        <w:t xml:space="preserve">and </w:t>
      </w:r>
      <w:r w:rsidR="00CA49DE">
        <w:t xml:space="preserve">the </w:t>
      </w:r>
      <w:r w:rsidR="00451E2A">
        <w:t>Commission</w:t>
      </w:r>
      <w:r w:rsidR="00451E2A" w:rsidRPr="0034143C">
        <w:t xml:space="preserve"> </w:t>
      </w:r>
      <w:r w:rsidRPr="0034143C">
        <w:t>concurred that there should be multiple routes for bilingual teacher preparation and authorization</w:t>
      </w:r>
      <w:r w:rsidR="00451E2A">
        <w:t>.  These routes</w:t>
      </w:r>
      <w:r w:rsidRPr="0034143C">
        <w:t xml:space="preserve"> include preliminary teacher preparation, teacher induction, and bilingual authorization for experienced teachers.  Examinations in the areas of language, culture and methodology provide an alternate route for bilingual teacher certification and may be combi</w:t>
      </w:r>
      <w:smartTag w:uri="urn:schemas-microsoft-com:office:smarttags" w:element="PersonName">
        <w:r w:rsidRPr="0034143C">
          <w:t>ne</w:t>
        </w:r>
      </w:smartTag>
      <w:r w:rsidRPr="0034143C">
        <w:t xml:space="preserve">d with coursework to complete the authorization. </w:t>
      </w:r>
    </w:p>
    <w:p w14:paraId="0C34823B" w14:textId="77777777" w:rsidR="00404390" w:rsidRPr="0034143C" w:rsidRDefault="00404390" w:rsidP="00A72CD6">
      <w:pPr>
        <w:jc w:val="both"/>
      </w:pPr>
      <w:r w:rsidRPr="0034143C">
        <w:t xml:space="preserve"> </w:t>
      </w:r>
    </w:p>
    <w:p w14:paraId="5574D2FF" w14:textId="77777777" w:rsidR="00404390" w:rsidRPr="00C67A5F" w:rsidRDefault="00404390" w:rsidP="00A72CD6">
      <w:pPr>
        <w:jc w:val="both"/>
        <w:rPr>
          <w:b/>
        </w:rPr>
      </w:pPr>
      <w:r w:rsidRPr="00C67A5F">
        <w:rPr>
          <w:b/>
        </w:rPr>
        <w:t xml:space="preserve">Promoting and Developing Language Proficiency for Bilingual Teacher </w:t>
      </w:r>
      <w:r w:rsidR="008E043A" w:rsidRPr="00C67A5F">
        <w:rPr>
          <w:b/>
        </w:rPr>
        <w:t>C</w:t>
      </w:r>
      <w:r w:rsidRPr="00C67A5F">
        <w:rPr>
          <w:b/>
        </w:rPr>
        <w:t>andidates</w:t>
      </w:r>
    </w:p>
    <w:p w14:paraId="7DCF5800" w14:textId="77777777" w:rsidR="00404390" w:rsidRPr="0034143C" w:rsidRDefault="00404390" w:rsidP="00A72CD6">
      <w:pPr>
        <w:jc w:val="both"/>
      </w:pPr>
      <w:r w:rsidRPr="0034143C">
        <w:t xml:space="preserve">The development of language proficiencies for bilingual teachers should take into consideration that teachers </w:t>
      </w:r>
      <w:smartTag w:uri="urn:schemas-microsoft-com:office:smarttags" w:element="PersonName">
        <w:r w:rsidRPr="0034143C">
          <w:t>ne</w:t>
        </w:r>
      </w:smartTag>
      <w:r w:rsidRPr="0034143C">
        <w:t>ed to use both conversational and academic language in English and</w:t>
      </w:r>
      <w:r>
        <w:t xml:space="preserve"> in</w:t>
      </w:r>
      <w:r w:rsidRPr="0034143C">
        <w:t xml:space="preserve"> the </w:t>
      </w:r>
      <w:r>
        <w:t xml:space="preserve">other </w:t>
      </w:r>
      <w:r w:rsidRPr="0034143C">
        <w:t xml:space="preserve">language </w:t>
      </w:r>
      <w:r>
        <w:t>of instruction</w:t>
      </w:r>
      <w:r w:rsidRPr="0034143C">
        <w:t>. Bilingual teachers should demonstrate knowledge of syntax, phonology, semantics, and pragmatics, as well as the ability to communicate in both languages through oral, non-verbal, written discourses in a variety of contexts. Bilingual teachers should demonstrate academic language competencies in both languages and in varied ways throughout the continuum of teacher education to maximize biliteracy and bicultural development in their students.</w:t>
      </w:r>
    </w:p>
    <w:p w14:paraId="166FF043" w14:textId="77777777" w:rsidR="00404390" w:rsidRPr="0034143C" w:rsidRDefault="00404390" w:rsidP="00A72CD6">
      <w:pPr>
        <w:jc w:val="both"/>
      </w:pPr>
    </w:p>
    <w:p w14:paraId="5F610258" w14:textId="77777777" w:rsidR="00404390" w:rsidRPr="00C67A5F" w:rsidRDefault="00404390" w:rsidP="000B6372">
      <w:pPr>
        <w:pStyle w:val="Heading3"/>
      </w:pPr>
      <w:bookmarkStart w:id="46" w:name="S2_BilingualMethod"/>
      <w:bookmarkStart w:id="47" w:name="_Toc337553973"/>
      <w:bookmarkStart w:id="48" w:name="_Toc135655553"/>
      <w:r w:rsidRPr="00C67A5F">
        <w:t>Bilingual Methodologies</w:t>
      </w:r>
      <w:bookmarkEnd w:id="47"/>
      <w:bookmarkEnd w:id="48"/>
    </w:p>
    <w:bookmarkEnd w:id="46"/>
    <w:p w14:paraId="27A3D92A" w14:textId="77777777" w:rsidR="00404390" w:rsidRPr="0034143C" w:rsidRDefault="00404390" w:rsidP="00A72CD6">
      <w:pPr>
        <w:jc w:val="both"/>
        <w:rPr>
          <w:b/>
        </w:rPr>
      </w:pPr>
    </w:p>
    <w:p w14:paraId="53CEE903" w14:textId="77777777" w:rsidR="00404390" w:rsidRPr="0034143C" w:rsidRDefault="00404390" w:rsidP="00A72CD6">
      <w:pPr>
        <w:jc w:val="both"/>
        <w:rPr>
          <w:b/>
        </w:rPr>
      </w:pPr>
      <w:r w:rsidRPr="0034143C">
        <w:rPr>
          <w:b/>
        </w:rPr>
        <w:t xml:space="preserve">Pedagogies for Bilingualism and Biliteracy </w:t>
      </w:r>
    </w:p>
    <w:p w14:paraId="43CE003E" w14:textId="77777777" w:rsidR="00404390" w:rsidRPr="0034143C" w:rsidRDefault="00404390" w:rsidP="00A72CD6">
      <w:pPr>
        <w:tabs>
          <w:tab w:val="left" w:pos="1080"/>
          <w:tab w:val="left" w:pos="1170"/>
          <w:tab w:val="left" w:pos="1890"/>
        </w:tabs>
        <w:jc w:val="both"/>
      </w:pPr>
      <w:r w:rsidRPr="00451E2A">
        <w:t xml:space="preserve">Emerging research on biliteracy </w:t>
      </w:r>
      <w:r w:rsidR="00C77E4A" w:rsidRPr="00451E2A">
        <w:t>instruction in</w:t>
      </w:r>
      <w:r w:rsidRPr="00451E2A">
        <w:t xml:space="preserve"> the United States is derived from various discipli</w:t>
      </w:r>
      <w:smartTag w:uri="urn:schemas-microsoft-com:office:smarttags" w:element="PersonName">
        <w:r w:rsidRPr="00451E2A">
          <w:t>ne</w:t>
        </w:r>
      </w:smartTag>
      <w:r w:rsidRPr="00451E2A">
        <w:t>s including cognitive science (Durán, 198</w:t>
      </w:r>
      <w:r w:rsidR="001D2AA1" w:rsidRPr="00451E2A">
        <w:t>1</w:t>
      </w:r>
      <w:r w:rsidRPr="00451E2A">
        <w:t xml:space="preserve">), </w:t>
      </w:r>
      <w:r w:rsidR="007D228A" w:rsidRPr="00451E2A">
        <w:t xml:space="preserve">neuroscience and </w:t>
      </w:r>
      <w:r w:rsidRPr="00451E2A">
        <w:t xml:space="preserve">brain research </w:t>
      </w:r>
      <w:r w:rsidR="007D228A" w:rsidRPr="00451E2A">
        <w:t>(</w:t>
      </w:r>
      <w:proofErr w:type="spellStart"/>
      <w:r w:rsidRPr="00451E2A">
        <w:t>Pettito</w:t>
      </w:r>
      <w:proofErr w:type="spellEnd"/>
      <w:r w:rsidRPr="00451E2A">
        <w:t>, et al</w:t>
      </w:r>
      <w:r w:rsidR="007D228A" w:rsidRPr="00451E2A">
        <w:t>, 2005</w:t>
      </w:r>
      <w:r w:rsidR="00616444">
        <w:t xml:space="preserve">), </w:t>
      </w:r>
      <w:r w:rsidRPr="00451E2A">
        <w:t>applied and pure linguistics, and reading/biliteracy research (Jimé</w:t>
      </w:r>
      <w:smartTag w:uri="urn:schemas-microsoft-com:office:smarttags" w:element="PersonName">
        <w:r w:rsidRPr="00451E2A">
          <w:t>ne</w:t>
        </w:r>
      </w:smartTag>
      <w:r w:rsidRPr="00451E2A">
        <w:t>z, 1997).  Cognitive science is concer</w:t>
      </w:r>
      <w:smartTag w:uri="urn:schemas-microsoft-com:office:smarttags" w:element="PersonName">
        <w:r w:rsidRPr="00451E2A">
          <w:t>ne</w:t>
        </w:r>
      </w:smartTag>
      <w:r w:rsidRPr="00451E2A">
        <w:t xml:space="preserve">d with the mental processes in biliteracy, such as schema and metacognition related to the uses and locations of two or more languages in the brain. Bilingual teachers apply this knowledge </w:t>
      </w:r>
      <w:r w:rsidR="00CB5676">
        <w:t xml:space="preserve">of current and emerging theories and research on bilingual teaching and learning </w:t>
      </w:r>
      <w:r w:rsidRPr="00451E2A">
        <w:t xml:space="preserve">by incorporating practices, methods and materials that promote the development of bilingualism and biliteracy in their students. Bilingual teacher candidates use metacognitive strategies to both assess and to systematically assist bilingual students in understanding how to </w:t>
      </w:r>
      <w:proofErr w:type="gramStart"/>
      <w:r w:rsidRPr="00451E2A">
        <w:t>bridge between</w:t>
      </w:r>
      <w:proofErr w:type="gramEnd"/>
      <w:r w:rsidRPr="00451E2A">
        <w:t xml:space="preserve"> two languages. Teachers </w:t>
      </w:r>
      <w:smartTag w:uri="urn:schemas-microsoft-com:office:smarttags" w:element="PersonName">
        <w:r w:rsidRPr="00451E2A">
          <w:t>ne</w:t>
        </w:r>
      </w:smartTag>
      <w:r w:rsidRPr="00451E2A">
        <w:t xml:space="preserve">ed strategies that foster language transference. Bilingual teacher candidates </w:t>
      </w:r>
      <w:smartTag w:uri="urn:schemas-microsoft-com:office:smarttags" w:element="PersonName">
        <w:r w:rsidRPr="00451E2A">
          <w:t>ne</w:t>
        </w:r>
      </w:smartTag>
      <w:r w:rsidRPr="00451E2A">
        <w:t xml:space="preserve">ed to know how language skills transfer </w:t>
      </w:r>
      <w:proofErr w:type="gramStart"/>
      <w:r w:rsidRPr="00451E2A">
        <w:t>in order to</w:t>
      </w:r>
      <w:proofErr w:type="gramEnd"/>
      <w:r w:rsidRPr="00451E2A">
        <w:t xml:space="preserve"> provide targeted instruction to promote biliteracy.</w:t>
      </w:r>
      <w:r w:rsidRPr="0034143C">
        <w:t xml:space="preserve"> </w:t>
      </w:r>
    </w:p>
    <w:p w14:paraId="50EC106E" w14:textId="77777777" w:rsidR="00404390" w:rsidRPr="0034143C" w:rsidRDefault="00404390" w:rsidP="00A72CD6">
      <w:pPr>
        <w:tabs>
          <w:tab w:val="left" w:pos="1080"/>
          <w:tab w:val="left" w:pos="1170"/>
          <w:tab w:val="left" w:pos="1890"/>
        </w:tabs>
        <w:jc w:val="both"/>
      </w:pPr>
    </w:p>
    <w:p w14:paraId="0B3F37DC" w14:textId="77777777" w:rsidR="00404390" w:rsidRPr="0034143C" w:rsidRDefault="00404390" w:rsidP="00A72CD6">
      <w:pPr>
        <w:jc w:val="both"/>
      </w:pPr>
      <w:proofErr w:type="gramStart"/>
      <w:r w:rsidRPr="0034143C">
        <w:t>In order to</w:t>
      </w:r>
      <w:proofErr w:type="gramEnd"/>
      <w:r w:rsidRPr="0034143C">
        <w:t xml:space="preserve"> assess biliteracy and cognitive development, bilingual teachers should recognize that language ability varies from context to context and is influenced by affect, interaction or topic </w:t>
      </w:r>
      <w:r w:rsidRPr="00D64AE8">
        <w:t>(Valdés and Figueroa, l994).</w:t>
      </w:r>
      <w:r w:rsidRPr="0034143C">
        <w:t xml:space="preserve">  Thus, teachers must understand that bilingual students, dominant in either the target or primary language, may not yet be able to express their complete knowledge in their second language.  Due to these differences, all children cannot be assessed solely by approaches that consider performance in only o</w:t>
      </w:r>
      <w:smartTag w:uri="urn:schemas-microsoft-com:office:smarttags" w:element="PersonName">
        <w:r w:rsidRPr="0034143C">
          <w:t>ne</w:t>
        </w:r>
      </w:smartTag>
      <w:r w:rsidRPr="0034143C">
        <w:t xml:space="preserve"> language and in only o</w:t>
      </w:r>
      <w:smartTag w:uri="urn:schemas-microsoft-com:office:smarttags" w:element="PersonName">
        <w:r w:rsidRPr="0034143C">
          <w:t>ne</w:t>
        </w:r>
      </w:smartTag>
      <w:r w:rsidRPr="0034143C">
        <w:t xml:space="preserve"> way (Moll and Díaz, l987). </w:t>
      </w:r>
    </w:p>
    <w:p w14:paraId="134EBBFB" w14:textId="77777777" w:rsidR="00404390" w:rsidRPr="0034143C" w:rsidRDefault="00404390" w:rsidP="00A72CD6">
      <w:pPr>
        <w:tabs>
          <w:tab w:val="left" w:pos="1080"/>
          <w:tab w:val="left" w:pos="1170"/>
          <w:tab w:val="left" w:pos="1890"/>
        </w:tabs>
        <w:jc w:val="both"/>
        <w:rPr>
          <w:smallCaps/>
        </w:rPr>
      </w:pPr>
    </w:p>
    <w:p w14:paraId="4E8E437B" w14:textId="77777777" w:rsidR="00404390" w:rsidRPr="00C67A5F" w:rsidRDefault="00404390" w:rsidP="000B6372">
      <w:pPr>
        <w:pStyle w:val="Heading3"/>
      </w:pPr>
      <w:bookmarkStart w:id="49" w:name="S2_Crosscultural_Knowlege_Pedog"/>
      <w:bookmarkStart w:id="50" w:name="_Toc337553974"/>
      <w:bookmarkStart w:id="51" w:name="_Toc135655554"/>
      <w:proofErr w:type="spellStart"/>
      <w:r w:rsidRPr="00C67A5F">
        <w:t>Crosscultural</w:t>
      </w:r>
      <w:proofErr w:type="spellEnd"/>
      <w:r w:rsidRPr="00C67A5F">
        <w:t>/Intercultural Knowledge and Pedagogy</w:t>
      </w:r>
      <w:bookmarkEnd w:id="50"/>
      <w:bookmarkEnd w:id="51"/>
    </w:p>
    <w:bookmarkEnd w:id="49"/>
    <w:p w14:paraId="42BFA179" w14:textId="77777777" w:rsidR="00404390" w:rsidRPr="0034143C" w:rsidRDefault="00404390" w:rsidP="00A72CD6">
      <w:pPr>
        <w:tabs>
          <w:tab w:val="left" w:pos="360"/>
          <w:tab w:val="left" w:pos="720"/>
          <w:tab w:val="left" w:pos="1080"/>
          <w:tab w:val="left" w:pos="1170"/>
          <w:tab w:val="left" w:pos="1440"/>
          <w:tab w:val="left" w:pos="1890"/>
        </w:tabs>
        <w:jc w:val="both"/>
        <w:rPr>
          <w:i/>
        </w:rPr>
      </w:pPr>
      <w:r w:rsidRPr="0034143C">
        <w:rPr>
          <w:i/>
        </w:rPr>
        <w:t xml:space="preserve"> </w:t>
      </w:r>
    </w:p>
    <w:p w14:paraId="4CA265FD" w14:textId="77777777" w:rsidR="00404390" w:rsidRPr="0034143C" w:rsidRDefault="00404390" w:rsidP="00A72CD6">
      <w:pPr>
        <w:tabs>
          <w:tab w:val="left" w:pos="360"/>
          <w:tab w:val="left" w:pos="720"/>
          <w:tab w:val="left" w:pos="1080"/>
          <w:tab w:val="left" w:pos="1440"/>
          <w:tab w:val="left" w:pos="1890"/>
        </w:tabs>
        <w:jc w:val="both"/>
      </w:pPr>
      <w:r w:rsidRPr="0034143C">
        <w:rPr>
          <w:i/>
        </w:rPr>
        <w:lastRenderedPageBreak/>
        <w:t>Crosscultural and intercultural knowledge</w:t>
      </w:r>
      <w:r>
        <w:rPr>
          <w:i/>
        </w:rPr>
        <w:t xml:space="preserve"> are</w:t>
      </w:r>
      <w:r w:rsidRPr="0034143C">
        <w:rPr>
          <w:i/>
        </w:rPr>
        <w:t xml:space="preserve"> “…important factors in the acquisition of literacy and reasoning in schools and in the creation and maintenance of conditions of civility in the school social system” (Erickson, 1984</w:t>
      </w:r>
      <w:r w:rsidR="00CB5676">
        <w:rPr>
          <w:i/>
        </w:rPr>
        <w:t>,</w:t>
      </w:r>
      <w:r w:rsidRPr="0034143C">
        <w:rPr>
          <w:i/>
        </w:rPr>
        <w:t xml:space="preserve"> p. 537). </w:t>
      </w:r>
    </w:p>
    <w:p w14:paraId="0D2F7C3F" w14:textId="77777777" w:rsidR="00404390" w:rsidRPr="0034143C" w:rsidRDefault="00404390" w:rsidP="00A72CD6">
      <w:pPr>
        <w:tabs>
          <w:tab w:val="left" w:pos="360"/>
          <w:tab w:val="left" w:pos="720"/>
          <w:tab w:val="left" w:pos="1080"/>
          <w:tab w:val="left" w:pos="1440"/>
          <w:tab w:val="left" w:pos="1890"/>
        </w:tabs>
        <w:jc w:val="both"/>
      </w:pPr>
    </w:p>
    <w:p w14:paraId="71BE2E7D" w14:textId="77777777" w:rsidR="00404390" w:rsidRPr="0034143C" w:rsidRDefault="00404390" w:rsidP="00A72CD6">
      <w:pPr>
        <w:tabs>
          <w:tab w:val="left" w:pos="360"/>
          <w:tab w:val="left" w:pos="720"/>
          <w:tab w:val="left" w:pos="1080"/>
          <w:tab w:val="left" w:pos="1440"/>
          <w:tab w:val="left" w:pos="1890"/>
        </w:tabs>
        <w:jc w:val="both"/>
      </w:pPr>
      <w:r w:rsidRPr="0034143C">
        <w:t>Highly qualified bilingual teachers are important and critical resources to educate and empower American youth for a global society. Bilingual teachers form a cultural and linguistic bridge that links the bilingual community to the larger society. They part</w:t>
      </w:r>
      <w:smartTag w:uri="urn:schemas-microsoft-com:office:smarttags" w:element="PersonName">
        <w:r w:rsidRPr="0034143C">
          <w:t>ne</w:t>
        </w:r>
      </w:smartTag>
      <w:r w:rsidRPr="0034143C">
        <w:t xml:space="preserve">r with parents in decisions concerning their children’s education. Students bring valuable resources which include language, culture, and interaction styles that should be 'tapped into' </w:t>
      </w:r>
      <w:proofErr w:type="gramStart"/>
      <w:r w:rsidRPr="0034143C">
        <w:t>in order to</w:t>
      </w:r>
      <w:proofErr w:type="gramEnd"/>
      <w:r w:rsidRPr="0034143C">
        <w:t xml:space="preserve"> maximize learning outcomes. These "funds of knowledge</w:t>
      </w:r>
      <w:r w:rsidR="00372828" w:rsidRPr="0034143C">
        <w:t>” can</w:t>
      </w:r>
      <w:r w:rsidRPr="0034143C">
        <w:t xml:space="preserve"> be shared by students and teachers </w:t>
      </w:r>
      <w:r>
        <w:t xml:space="preserve">and </w:t>
      </w:r>
      <w:r w:rsidRPr="0034143C">
        <w:t xml:space="preserve">provide culturally relevant opportunities that enhance learning </w:t>
      </w:r>
      <w:r w:rsidRPr="0056611C">
        <w:t>(Gonzalez, Moll</w:t>
      </w:r>
      <w:r w:rsidR="001D2AA1" w:rsidRPr="0056611C">
        <w:t>,</w:t>
      </w:r>
      <w:r w:rsidRPr="0056611C">
        <w:t xml:space="preserve"> &amp; Amanti, 2005; Moll &amp; Greenberg, </w:t>
      </w:r>
      <w:r w:rsidR="001D2AA1" w:rsidRPr="0056611C">
        <w:t>2005</w:t>
      </w:r>
      <w:r w:rsidRPr="0056611C">
        <w:t>). Friedman</w:t>
      </w:r>
      <w:r w:rsidRPr="0034143C">
        <w:t xml:space="preserve"> (2006) contends that our increasingly global and international economies are dependent on an educated citizenry who can </w:t>
      </w:r>
      <w:smartTag w:uri="urn:schemas-microsoft-com:office:smarttags" w:element="PersonName">
        <w:r w:rsidRPr="0034143C">
          <w:t>ne</w:t>
        </w:r>
      </w:smartTag>
      <w:r w:rsidRPr="0034143C">
        <w:t xml:space="preserve">gotiate multiple languages and cultures. </w:t>
      </w:r>
    </w:p>
    <w:p w14:paraId="280A54B1" w14:textId="77777777" w:rsidR="00404390" w:rsidRPr="0034143C" w:rsidRDefault="00404390" w:rsidP="00A72CD6">
      <w:pPr>
        <w:tabs>
          <w:tab w:val="left" w:pos="360"/>
          <w:tab w:val="left" w:pos="720"/>
          <w:tab w:val="left" w:pos="1080"/>
          <w:tab w:val="left" w:pos="1440"/>
          <w:tab w:val="left" w:pos="1890"/>
        </w:tabs>
        <w:jc w:val="both"/>
      </w:pPr>
    </w:p>
    <w:p w14:paraId="2F5FD7B4" w14:textId="77777777" w:rsidR="00404390" w:rsidRPr="00C67A5F" w:rsidRDefault="00404390" w:rsidP="00A72CD6">
      <w:pPr>
        <w:jc w:val="both"/>
        <w:rPr>
          <w:b/>
        </w:rPr>
      </w:pPr>
      <w:r w:rsidRPr="00C67A5F">
        <w:rPr>
          <w:b/>
        </w:rPr>
        <w:t xml:space="preserve">The </w:t>
      </w:r>
      <w:r w:rsidRPr="00C67A5F">
        <w:rPr>
          <w:b/>
          <w:i/>
        </w:rPr>
        <w:t>Learning to Teach Continuum</w:t>
      </w:r>
      <w:r w:rsidRPr="00C67A5F">
        <w:rPr>
          <w:b/>
        </w:rPr>
        <w:t xml:space="preserve"> for Bilingual Teachers</w:t>
      </w:r>
    </w:p>
    <w:p w14:paraId="0AE2E039" w14:textId="77777777" w:rsidR="00404390" w:rsidRPr="0034143C" w:rsidRDefault="00404390" w:rsidP="00A72CD6">
      <w:pPr>
        <w:jc w:val="both"/>
      </w:pPr>
      <w:r w:rsidRPr="0034143C">
        <w:t>The bilingual program standards included in this document are part of the preliminary preparation of bilingual teachers</w:t>
      </w:r>
      <w:r>
        <w:t>. H</w:t>
      </w:r>
      <w:r w:rsidRPr="0034143C">
        <w:t>owever</w:t>
      </w:r>
      <w:r>
        <w:t>,</w:t>
      </w:r>
      <w:r w:rsidRPr="0034143C">
        <w:t xml:space="preserve"> the extension of knowledge, </w:t>
      </w:r>
      <w:proofErr w:type="gramStart"/>
      <w:r w:rsidRPr="0034143C">
        <w:t>skills</w:t>
      </w:r>
      <w:proofErr w:type="gramEnd"/>
      <w:r w:rsidRPr="0034143C">
        <w:t xml:space="preserve"> and abilities through the induction phase of bilingual teacher preparation ha</w:t>
      </w:r>
      <w:r w:rsidR="00C77E4A">
        <w:t>s</w:t>
      </w:r>
      <w:r w:rsidRPr="0034143C">
        <w:t xml:space="preserve"> not been considered in this document. According to SB 2042</w:t>
      </w:r>
      <w:r w:rsidR="00CB5676">
        <w:t xml:space="preserve"> (</w:t>
      </w:r>
      <w:r w:rsidR="009C1C01">
        <w:t xml:space="preserve">EC </w:t>
      </w:r>
      <w:r w:rsidR="00CB5676">
        <w:t>§44259)</w:t>
      </w:r>
      <w:r>
        <w:t>,</w:t>
      </w:r>
      <w:r w:rsidRPr="0034143C">
        <w:t xml:space="preserve"> “a professional teaching credential is ear</w:t>
      </w:r>
      <w:smartTag w:uri="urn:schemas-microsoft-com:office:smarttags" w:element="PersonName">
        <w:r w:rsidRPr="0034143C">
          <w:t>ne</w:t>
        </w:r>
      </w:smartTag>
      <w:r w:rsidRPr="0034143C">
        <w:t xml:space="preserve">d through completion of a </w:t>
      </w:r>
      <w:proofErr w:type="gramStart"/>
      <w:r w:rsidRPr="0034143C">
        <w:t>two year</w:t>
      </w:r>
      <w:proofErr w:type="gramEnd"/>
      <w:r w:rsidRPr="0034143C">
        <w:t xml:space="preserve"> professional teacher induction program that begins with the candidates’ initial employment as a teacher of record.” </w:t>
      </w:r>
      <w:r w:rsidR="004F6882">
        <w:t xml:space="preserve"> </w:t>
      </w:r>
      <w:r w:rsidRPr="0034143C">
        <w:t xml:space="preserve">Professional development for bilingual teachers in induction should include mentoring by a support provider who holds a bilingual teaching authorization. The bilingual induction phase should also include opportunities to further develop the </w:t>
      </w:r>
      <w:r w:rsidR="008E043A" w:rsidRPr="0034143C">
        <w:t>teachers</w:t>
      </w:r>
      <w:r w:rsidR="008E043A">
        <w:t>’</w:t>
      </w:r>
      <w:r w:rsidR="008E043A" w:rsidRPr="0034143C">
        <w:t xml:space="preserve"> skills</w:t>
      </w:r>
      <w:r w:rsidRPr="0034143C">
        <w:t xml:space="preserve"> using bilingual curriculum and methodologies. </w:t>
      </w:r>
    </w:p>
    <w:p w14:paraId="3CC0974A" w14:textId="77777777" w:rsidR="008E043A" w:rsidRPr="00857167" w:rsidRDefault="00404390" w:rsidP="0082302B">
      <w:pPr>
        <w:pStyle w:val="Heading2"/>
      </w:pPr>
      <w:r>
        <w:br w:type="page"/>
      </w:r>
      <w:bookmarkStart w:id="52" w:name="Section_3"/>
      <w:bookmarkStart w:id="53" w:name="_Toc337553975"/>
      <w:bookmarkStart w:id="54" w:name="_Toc135655555"/>
      <w:r w:rsidR="008E043A" w:rsidRPr="00857167">
        <w:lastRenderedPageBreak/>
        <w:t>Section 3:  Submission Guidelines</w:t>
      </w:r>
      <w:r w:rsidR="007A3145" w:rsidRPr="00857167">
        <w:t xml:space="preserve"> and Transmission Requirements</w:t>
      </w:r>
      <w:bookmarkEnd w:id="53"/>
      <w:bookmarkEnd w:id="54"/>
    </w:p>
    <w:bookmarkEnd w:id="52"/>
    <w:p w14:paraId="4378CEA5" w14:textId="77777777" w:rsidR="00CF4D38" w:rsidRPr="00857167" w:rsidRDefault="00CF4D38" w:rsidP="00A72CD6">
      <w:pPr>
        <w:tabs>
          <w:tab w:val="left" w:pos="360"/>
          <w:tab w:val="left" w:pos="720"/>
          <w:tab w:val="right" w:pos="1620"/>
          <w:tab w:val="left" w:pos="1800"/>
          <w:tab w:val="left" w:pos="2160"/>
          <w:tab w:val="right" w:leader="dot" w:pos="9360"/>
        </w:tabs>
        <w:jc w:val="both"/>
        <w:rPr>
          <w:b/>
          <w:sz w:val="20"/>
          <w:szCs w:val="20"/>
        </w:rPr>
      </w:pPr>
    </w:p>
    <w:p w14:paraId="0C9C64D7" w14:textId="77777777" w:rsidR="00CF4D38" w:rsidRPr="00857167" w:rsidRDefault="003344AD" w:rsidP="00A72CD6">
      <w:pPr>
        <w:pStyle w:val="CM1"/>
        <w:jc w:val="both"/>
      </w:pPr>
      <w:r w:rsidRPr="00857167">
        <w:t>Only those institutions that have received both initial institutional approval from the Commission on Teacher Credentialing and program approval from the Committee on Accreditation may offer a bilingual authorization program and recommend can</w:t>
      </w:r>
      <w:r w:rsidR="004A5EB2">
        <w:t xml:space="preserve">didates for the authorization, </w:t>
      </w:r>
      <w:r w:rsidRPr="00857167">
        <w:t xml:space="preserve">Initial institutional approval is required prior to program approval.  </w:t>
      </w:r>
    </w:p>
    <w:p w14:paraId="66D537DD" w14:textId="77777777" w:rsidR="00CF4D38" w:rsidRPr="0095431E" w:rsidRDefault="00CF4D38" w:rsidP="00A72CD6">
      <w:pPr>
        <w:jc w:val="both"/>
        <w:rPr>
          <w:sz w:val="20"/>
          <w:szCs w:val="20"/>
          <w:highlight w:val="yellow"/>
        </w:rPr>
      </w:pPr>
    </w:p>
    <w:p w14:paraId="1CCCF620" w14:textId="77777777" w:rsidR="0058370D" w:rsidRPr="00CC147C" w:rsidRDefault="008E043A" w:rsidP="00A72CD6">
      <w:pPr>
        <w:jc w:val="both"/>
      </w:pPr>
      <w:r w:rsidRPr="00CC147C">
        <w:t>To facilitate the review and approval process, Commission staff ha</w:t>
      </w:r>
      <w:r w:rsidR="000F7788" w:rsidRPr="00CC147C">
        <w:t>ve</w:t>
      </w:r>
      <w:r w:rsidRPr="00CC147C">
        <w:t xml:space="preserve"> de</w:t>
      </w:r>
      <w:r w:rsidR="0095431E" w:rsidRPr="00CC147C">
        <w:t xml:space="preserve">tailed </w:t>
      </w:r>
      <w:r w:rsidR="007A3145" w:rsidRPr="00CC147C">
        <w:t xml:space="preserve">instructions for </w:t>
      </w:r>
      <w:hyperlink r:id="rId23" w:history="1">
        <w:r w:rsidR="0095431E" w:rsidRPr="00307369">
          <w:rPr>
            <w:rStyle w:val="Hyperlink"/>
          </w:rPr>
          <w:t>Submitting</w:t>
        </w:r>
        <w:r w:rsidR="007A3145" w:rsidRPr="00307369">
          <w:rPr>
            <w:rStyle w:val="Hyperlink"/>
          </w:rPr>
          <w:t xml:space="preserve"> a Proposal for an Educator Preparation Program in California</w:t>
        </w:r>
      </w:hyperlink>
      <w:r w:rsidR="0095431E" w:rsidRPr="00CC147C">
        <w:t>.</w:t>
      </w:r>
      <w:r w:rsidR="007A3145" w:rsidRPr="00CC147C">
        <w:t xml:space="preserve"> </w:t>
      </w:r>
      <w:r w:rsidRPr="00CC147C">
        <w:t>It is essential that these instructions be followed accurately</w:t>
      </w:r>
      <w:r w:rsidR="00544AF0" w:rsidRPr="00CC147C">
        <w:t xml:space="preserve"> including </w:t>
      </w:r>
      <w:hyperlink r:id="rId24" w:anchor="submission" w:history="1">
        <w:r w:rsidR="00544AF0" w:rsidRPr="00307369">
          <w:rPr>
            <w:rStyle w:val="Hyperlink"/>
          </w:rPr>
          <w:t>Submission Guidelines, Document Formatting and T</w:t>
        </w:r>
        <w:r w:rsidR="0095431E" w:rsidRPr="00307369">
          <w:rPr>
            <w:rStyle w:val="Hyperlink"/>
          </w:rPr>
          <w:t>ransmission Requirements</w:t>
        </w:r>
      </w:hyperlink>
      <w:r w:rsidR="00D641D3">
        <w:rPr>
          <w:u w:val="single"/>
        </w:rPr>
        <w:t>.</w:t>
      </w:r>
      <w:r w:rsidR="0095431E" w:rsidRPr="00CC147C">
        <w:t xml:space="preserve"> </w:t>
      </w:r>
      <w:r w:rsidRPr="00CC147C">
        <w:t>Failure to comply with these procedures can result in a proposal being retur</w:t>
      </w:r>
      <w:smartTag w:uri="urn:schemas-microsoft-com:office:smarttags" w:element="PersonName">
        <w:r w:rsidRPr="00CC147C">
          <w:t>ne</w:t>
        </w:r>
      </w:smartTag>
      <w:r w:rsidRPr="00CC147C">
        <w:t xml:space="preserve">d to the prospective program sponsor for </w:t>
      </w:r>
      <w:r w:rsidR="00544AF0" w:rsidRPr="00CC147C">
        <w:t xml:space="preserve">completion, </w:t>
      </w:r>
      <w:r w:rsidRPr="00CC147C">
        <w:t>reformatting and/or revision prior to being forwarded to program reviewers.</w:t>
      </w:r>
      <w:r w:rsidR="00895D0C" w:rsidRPr="00CC147C">
        <w:t xml:space="preserve">  </w:t>
      </w:r>
      <w:r w:rsidR="0057273B" w:rsidRPr="00CC147C">
        <w:t>As outlined in the guidelines, t</w:t>
      </w:r>
      <w:r w:rsidR="00895D0C" w:rsidRPr="00CC147C">
        <w:t xml:space="preserve">he program sponsor should </w:t>
      </w:r>
      <w:r w:rsidR="00C67A5F" w:rsidRPr="00CC147C">
        <w:t xml:space="preserve">first </w:t>
      </w:r>
      <w:r w:rsidR="00895D0C" w:rsidRPr="00CC147C">
        <w:t xml:space="preserve">notify CTC </w:t>
      </w:r>
      <w:r w:rsidR="00335EEC" w:rsidRPr="00CC147C">
        <w:t xml:space="preserve">of </w:t>
      </w:r>
      <w:r w:rsidR="00895D0C" w:rsidRPr="00CC147C">
        <w:t xml:space="preserve">their </w:t>
      </w:r>
      <w:hyperlink r:id="rId25" w:history="1">
        <w:r w:rsidR="00335EEC" w:rsidRPr="00D641D3">
          <w:rPr>
            <w:rStyle w:val="Hyperlink"/>
          </w:rPr>
          <w:t>intent to submit</w:t>
        </w:r>
      </w:hyperlink>
      <w:r w:rsidR="00335EEC" w:rsidRPr="00CC147C">
        <w:t xml:space="preserve"> </w:t>
      </w:r>
      <w:r w:rsidR="00895D0C" w:rsidRPr="00CC147C">
        <w:t xml:space="preserve">a </w:t>
      </w:r>
      <w:r w:rsidR="0057273B" w:rsidRPr="00CC147C">
        <w:t>new p</w:t>
      </w:r>
      <w:r w:rsidR="00895D0C" w:rsidRPr="00CC147C">
        <w:t>rogram and the anticipated date of their submittal</w:t>
      </w:r>
      <w:r w:rsidR="0057273B" w:rsidRPr="00CC147C">
        <w:t>.</w:t>
      </w:r>
    </w:p>
    <w:p w14:paraId="7E0ADF1F" w14:textId="77777777" w:rsidR="0058370D" w:rsidRDefault="0058370D" w:rsidP="00A72CD6">
      <w:pPr>
        <w:jc w:val="both"/>
        <w:rPr>
          <w:highlight w:val="yellow"/>
        </w:rPr>
      </w:pPr>
    </w:p>
    <w:p w14:paraId="021E9CA1" w14:textId="77777777" w:rsidR="0095431E" w:rsidRDefault="0095431E" w:rsidP="00A72CD6">
      <w:pPr>
        <w:jc w:val="both"/>
      </w:pPr>
      <w:r w:rsidRPr="00857167">
        <w:t>This section complements the I</w:t>
      </w:r>
      <w:r w:rsidR="0058370D" w:rsidRPr="00857167">
        <w:t>nitial Program Review (I</w:t>
      </w:r>
      <w:r w:rsidRPr="00857167">
        <w:t>PR</w:t>
      </w:r>
      <w:r w:rsidR="0058370D" w:rsidRPr="00857167">
        <w:t>)</w:t>
      </w:r>
      <w:r w:rsidRPr="00857167">
        <w:t xml:space="preserve"> Submission Guidelines by providing specific information relative to the bilingual authorization program proposal.</w:t>
      </w:r>
      <w:r w:rsidR="00C67A5F" w:rsidRPr="00451E2A">
        <w:t xml:space="preserve"> </w:t>
      </w:r>
      <w:r w:rsidR="0058370D">
        <w:t xml:space="preserve">The Program Document submitted to IPR should contain responses to three </w:t>
      </w:r>
      <w:proofErr w:type="gramStart"/>
      <w:r w:rsidR="0058370D">
        <w:t>components;</w:t>
      </w:r>
      <w:proofErr w:type="gramEnd"/>
      <w:r w:rsidR="0058370D">
        <w:t xml:space="preserve"> the</w:t>
      </w:r>
      <w:r w:rsidR="00E34725">
        <w:t xml:space="preserve"> 10 General Preconditions and additional 3</w:t>
      </w:r>
      <w:r w:rsidR="0058370D">
        <w:t xml:space="preserve"> Preconditions specific to the Bilingual Teaching Authorization, the Common Standards Addendum and the response to the Bilingual </w:t>
      </w:r>
      <w:r w:rsidR="0057273B">
        <w:t>P</w:t>
      </w:r>
      <w:r w:rsidR="0058370D">
        <w:t xml:space="preserve">rogram </w:t>
      </w:r>
      <w:r w:rsidR="0057273B">
        <w:t>S</w:t>
      </w:r>
      <w:r w:rsidR="0058370D">
        <w:t>tandards.</w:t>
      </w:r>
    </w:p>
    <w:p w14:paraId="6B6B8369" w14:textId="77777777" w:rsidR="0058370D" w:rsidRPr="00552F2E" w:rsidRDefault="0058370D" w:rsidP="00A72CD6">
      <w:pPr>
        <w:jc w:val="both"/>
        <w:rPr>
          <w:b/>
          <w:sz w:val="20"/>
          <w:szCs w:val="20"/>
        </w:rPr>
      </w:pPr>
    </w:p>
    <w:p w14:paraId="169D3275" w14:textId="77777777" w:rsidR="00895D0C" w:rsidRPr="00451E2A" w:rsidRDefault="00EA5C38" w:rsidP="0082302B">
      <w:pPr>
        <w:pStyle w:val="Heading3"/>
      </w:pPr>
      <w:bookmarkStart w:id="55" w:name="S3_PrepPrecond"/>
      <w:bookmarkStart w:id="56" w:name="_Toc337553976"/>
      <w:bookmarkStart w:id="57" w:name="_Toc135655556"/>
      <w:r w:rsidRPr="00451E2A">
        <w:t xml:space="preserve">Preparing </w:t>
      </w:r>
      <w:r w:rsidR="00846402" w:rsidRPr="00451E2A">
        <w:t>Respons</w:t>
      </w:r>
      <w:r w:rsidRPr="00451E2A">
        <w:t>es</w:t>
      </w:r>
      <w:r w:rsidR="001C7DC5" w:rsidRPr="00451E2A">
        <w:t xml:space="preserve"> to Preconditions</w:t>
      </w:r>
      <w:bookmarkEnd w:id="56"/>
      <w:bookmarkEnd w:id="57"/>
    </w:p>
    <w:bookmarkEnd w:id="55"/>
    <w:p w14:paraId="27A57EDC" w14:textId="77777777" w:rsidR="006F27EB" w:rsidRPr="006F27EB" w:rsidRDefault="00E34725" w:rsidP="00E34725">
      <w:pPr>
        <w:autoSpaceDE w:val="0"/>
        <w:autoSpaceDN w:val="0"/>
        <w:adjustRightInd w:val="0"/>
        <w:jc w:val="both"/>
      </w:pPr>
      <w:r w:rsidRPr="006F27EB">
        <w:t>The following Preconditions apply to all institutions applying to the Commission for approval to offer programs leading to a Bilingual Teaching Authorization</w:t>
      </w:r>
    </w:p>
    <w:p w14:paraId="130074EC" w14:textId="77777777" w:rsidR="006F27EB" w:rsidRPr="006F27EB" w:rsidRDefault="006F27EB" w:rsidP="00E34725">
      <w:pPr>
        <w:autoSpaceDE w:val="0"/>
        <w:autoSpaceDN w:val="0"/>
        <w:adjustRightInd w:val="0"/>
        <w:jc w:val="both"/>
      </w:pPr>
    </w:p>
    <w:p w14:paraId="139241A7" w14:textId="77777777" w:rsidR="007A1C69" w:rsidRPr="00302A4B" w:rsidRDefault="007A1C69" w:rsidP="00E34725">
      <w:pPr>
        <w:autoSpaceDE w:val="0"/>
        <w:autoSpaceDN w:val="0"/>
        <w:adjustRightInd w:val="0"/>
        <w:jc w:val="both"/>
        <w:rPr>
          <w:b/>
          <w:i/>
        </w:rPr>
      </w:pPr>
      <w:r w:rsidRPr="00302A4B">
        <w:rPr>
          <w:b/>
          <w:i/>
        </w:rPr>
        <w:t>General Preconditions</w:t>
      </w:r>
    </w:p>
    <w:p w14:paraId="6CED54D2" w14:textId="77777777" w:rsidR="007A1C69" w:rsidRPr="006F27EB" w:rsidRDefault="007A1C69" w:rsidP="00E34725">
      <w:pPr>
        <w:autoSpaceDE w:val="0"/>
        <w:autoSpaceDN w:val="0"/>
        <w:adjustRightInd w:val="0"/>
        <w:jc w:val="both"/>
      </w:pPr>
      <w:r w:rsidRPr="00302A4B">
        <w:t xml:space="preserve">The 10 General Preconditions are required for all new programs. </w:t>
      </w:r>
      <w:r w:rsidR="00C92C5D" w:rsidRPr="00302A4B">
        <w:t xml:space="preserve">An institution’s </w:t>
      </w:r>
      <w:r w:rsidR="00C3273E">
        <w:t xml:space="preserve">response to the </w:t>
      </w:r>
      <w:r w:rsidR="00C92C5D" w:rsidRPr="00302A4B">
        <w:t xml:space="preserve">10 General Preconditions </w:t>
      </w:r>
      <w:r w:rsidR="00C3273E">
        <w:t>is</w:t>
      </w:r>
      <w:r w:rsidR="00C92C5D" w:rsidRPr="00302A4B">
        <w:t xml:space="preserve"> approved prior to the institution receiving initial institutional approval and all preconditions, general and specific are reviewed during year six of the accreditation cycle prior to the site visit</w:t>
      </w:r>
      <w:r w:rsidR="00D641D3">
        <w:t xml:space="preserve">. </w:t>
      </w:r>
      <w:r w:rsidR="00302A4B">
        <w:t xml:space="preserve"> For specific submission information regarding the 10 General Preconditions please refer to t</w:t>
      </w:r>
      <w:r w:rsidR="00302A4B" w:rsidRPr="00302A4B">
        <w:t xml:space="preserve">he </w:t>
      </w:r>
      <w:hyperlink r:id="rId26" w:history="1">
        <w:r w:rsidR="00D641D3" w:rsidRPr="00D641D3">
          <w:rPr>
            <w:rStyle w:val="Hyperlink"/>
          </w:rPr>
          <w:t>Preconditions</w:t>
        </w:r>
        <w:r w:rsidR="00302A4B" w:rsidRPr="00D641D3">
          <w:rPr>
            <w:rStyle w:val="Hyperlink"/>
          </w:rPr>
          <w:t xml:space="preserve"> website</w:t>
        </w:r>
      </w:hyperlink>
      <w:r w:rsidR="00D641D3">
        <w:t>.</w:t>
      </w:r>
      <w:r w:rsidR="00D641D3" w:rsidRPr="006F27EB">
        <w:t xml:space="preserve"> </w:t>
      </w:r>
    </w:p>
    <w:p w14:paraId="67DBDC1F" w14:textId="77777777" w:rsidR="00D64AE8" w:rsidRDefault="00D64AE8" w:rsidP="007A1C69">
      <w:pPr>
        <w:autoSpaceDE w:val="0"/>
        <w:autoSpaceDN w:val="0"/>
        <w:adjustRightInd w:val="0"/>
        <w:jc w:val="both"/>
        <w:rPr>
          <w:b/>
          <w:sz w:val="20"/>
          <w:szCs w:val="20"/>
        </w:rPr>
      </w:pPr>
    </w:p>
    <w:p w14:paraId="78987763" w14:textId="77777777" w:rsidR="006F27EB" w:rsidRPr="007A1C69" w:rsidRDefault="007A1C69" w:rsidP="007A1C69">
      <w:pPr>
        <w:autoSpaceDE w:val="0"/>
        <w:autoSpaceDN w:val="0"/>
        <w:adjustRightInd w:val="0"/>
        <w:jc w:val="both"/>
        <w:rPr>
          <w:b/>
          <w:i/>
        </w:rPr>
      </w:pPr>
      <w:r w:rsidRPr="007A1C69">
        <w:rPr>
          <w:b/>
          <w:i/>
        </w:rPr>
        <w:t xml:space="preserve">Preconditions Specific to the Bilingual Authorization </w:t>
      </w:r>
    </w:p>
    <w:p w14:paraId="0C2900E9" w14:textId="77777777" w:rsidR="00503108" w:rsidRPr="00CB5676" w:rsidRDefault="00823B35" w:rsidP="00A72CD6">
      <w:pPr>
        <w:numPr>
          <w:ilvl w:val="0"/>
          <w:numId w:val="12"/>
        </w:numPr>
        <w:jc w:val="both"/>
      </w:pPr>
      <w:r w:rsidRPr="00CB5676">
        <w:t>C</w:t>
      </w:r>
      <w:r w:rsidR="00503108" w:rsidRPr="00CB5676">
        <w:t>andidates for a Bilingual Authorization must hold a prerequisite teaching credential or be recommended for an acceptable teaching credential simultaneously.  The following credentials are acceptable as prerequisite or simultaneous teaching authorizations: Single Subject, Multiple Subjects or Education Specialist teaching credentials</w:t>
      </w:r>
      <w:r w:rsidR="00D5767F" w:rsidRPr="00CB5676">
        <w:t xml:space="preserve"> or the equivalent</w:t>
      </w:r>
      <w:r w:rsidR="00C4426A">
        <w:t>*</w:t>
      </w:r>
      <w:r w:rsidR="00503108" w:rsidRPr="00CB5676">
        <w:t>.</w:t>
      </w:r>
    </w:p>
    <w:p w14:paraId="1C14AC82" w14:textId="77777777" w:rsidR="00503108" w:rsidRPr="00CB5676" w:rsidRDefault="00503108" w:rsidP="00A72CD6">
      <w:pPr>
        <w:ind w:left="360"/>
        <w:jc w:val="both"/>
      </w:pPr>
    </w:p>
    <w:p w14:paraId="602AC41A" w14:textId="77777777" w:rsidR="00754619" w:rsidRDefault="00D5767F" w:rsidP="00754619">
      <w:pPr>
        <w:numPr>
          <w:ilvl w:val="0"/>
          <w:numId w:val="12"/>
        </w:numPr>
        <w:jc w:val="both"/>
      </w:pPr>
      <w:r w:rsidRPr="00CB5676">
        <w:t>The p</w:t>
      </w:r>
      <w:r w:rsidR="00503108" w:rsidRPr="00CB5676">
        <w:t>r</w:t>
      </w:r>
      <w:r w:rsidRPr="00CB5676">
        <w:t>erequisite teaching a</w:t>
      </w:r>
      <w:r w:rsidR="00503108" w:rsidRPr="00CB5676">
        <w:t xml:space="preserve">uthorization must </w:t>
      </w:r>
      <w:r w:rsidRPr="00CB5676">
        <w:t xml:space="preserve">authorize instruction to English learners. Examples of such authorizations include a 2042 authorization, </w:t>
      </w:r>
      <w:r w:rsidR="00503108" w:rsidRPr="00CB5676">
        <w:t xml:space="preserve">a CLAD or equivalent English Learner Authorization, or the candidate must </w:t>
      </w:r>
      <w:r w:rsidRPr="00CB5676">
        <w:t>be eligible</w:t>
      </w:r>
      <w:r w:rsidR="00503108" w:rsidRPr="00CB5676">
        <w:t xml:space="preserve"> for the EL authorization </w:t>
      </w:r>
      <w:r w:rsidRPr="00CB5676">
        <w:t>at the time for recommendation for the bilingual authorization</w:t>
      </w:r>
      <w:r w:rsidR="00503108" w:rsidRPr="00CB5676">
        <w:t>.</w:t>
      </w:r>
      <w:r w:rsidRPr="00CB5676">
        <w:t xml:space="preserve">  </w:t>
      </w:r>
      <w:r w:rsidR="00A04614" w:rsidRPr="00CB5676">
        <w:rPr>
          <w:i/>
          <w:iCs/>
        </w:rPr>
        <w:t xml:space="preserve">The Certificate of Completion of Staff Development (CCSD) </w:t>
      </w:r>
      <w:r w:rsidR="00A04614" w:rsidRPr="00CB5676">
        <w:t xml:space="preserve">[SB 1969 (Chap. 1178, Stats. 1994), SB 395 (Chap. 685, Stats. 1999), </w:t>
      </w:r>
      <w:r w:rsidR="00A04614" w:rsidRPr="00CB5676">
        <w:rPr>
          <w:color w:val="000000"/>
        </w:rPr>
        <w:t>AB 2913 (Chap. 169, Stats. 2004)]</w:t>
      </w:r>
      <w:r w:rsidR="00A04614" w:rsidRPr="00CB5676">
        <w:rPr>
          <w:i/>
          <w:iCs/>
        </w:rPr>
        <w:t xml:space="preserve"> is not equivalent to a CLAD authorization.</w:t>
      </w:r>
    </w:p>
    <w:p w14:paraId="63B20138" w14:textId="77777777" w:rsidR="00754619" w:rsidRDefault="00754619" w:rsidP="00754619">
      <w:pPr>
        <w:jc w:val="both"/>
      </w:pPr>
    </w:p>
    <w:p w14:paraId="3EE5B123" w14:textId="77777777" w:rsidR="00754619" w:rsidRDefault="00754619" w:rsidP="00754619">
      <w:pPr>
        <w:numPr>
          <w:ilvl w:val="0"/>
          <w:numId w:val="12"/>
        </w:numPr>
        <w:jc w:val="both"/>
      </w:pPr>
      <w:r>
        <w:t xml:space="preserve">Candidates in a Bilingual Intern Program Delivery model must have </w:t>
      </w:r>
      <w:proofErr w:type="gramStart"/>
      <w:r>
        <w:t>demonstrated</w:t>
      </w:r>
      <w:proofErr w:type="gramEnd"/>
    </w:p>
    <w:p w14:paraId="0CC965DB" w14:textId="77777777" w:rsidR="00754619" w:rsidRDefault="00754619" w:rsidP="00754619">
      <w:pPr>
        <w:ind w:left="1080"/>
        <w:rPr>
          <w:i/>
          <w:iCs/>
        </w:rPr>
      </w:pPr>
      <w:r>
        <w:t xml:space="preserve">language competence as defined by </w:t>
      </w:r>
      <w:r>
        <w:rPr>
          <w:i/>
          <w:iCs/>
        </w:rPr>
        <w:t>Bilingual Authorization Program Standard 6:</w:t>
      </w:r>
    </w:p>
    <w:p w14:paraId="255549BE" w14:textId="77777777" w:rsidR="00C4426A" w:rsidRPr="00505FF7" w:rsidRDefault="00754619" w:rsidP="00505FF7">
      <w:pPr>
        <w:ind w:left="1080"/>
      </w:pPr>
      <w:r>
        <w:rPr>
          <w:i/>
          <w:iCs/>
        </w:rPr>
        <w:t xml:space="preserve">Assessment of Candidate Language Competence </w:t>
      </w:r>
      <w:r>
        <w:t>prior to entering the Intern</w:t>
      </w:r>
      <w:r w:rsidR="00505FF7">
        <w:t xml:space="preserve"> </w:t>
      </w:r>
      <w:r>
        <w:t>Program.</w:t>
      </w:r>
    </w:p>
    <w:p w14:paraId="53FAC6EE" w14:textId="77777777" w:rsidR="00C4426A" w:rsidRPr="007A1C69" w:rsidRDefault="00C4426A" w:rsidP="007A1C69">
      <w:pPr>
        <w:autoSpaceDE w:val="0"/>
        <w:autoSpaceDN w:val="0"/>
        <w:adjustRightInd w:val="0"/>
        <w:jc w:val="both"/>
        <w:rPr>
          <w:i/>
          <w:color w:val="000000"/>
          <w:sz w:val="22"/>
          <w:szCs w:val="22"/>
        </w:rPr>
      </w:pPr>
      <w:r w:rsidRPr="007A1C69">
        <w:rPr>
          <w:i/>
          <w:color w:val="000000"/>
          <w:sz w:val="22"/>
          <w:szCs w:val="22"/>
        </w:rPr>
        <w:lastRenderedPageBreak/>
        <w:t xml:space="preserve">*Equivalent credentials include those listed in Education Code §44253.4 (4)(b)(1) Possession of a valid California teaching credential, services credential, visiting faculty permit, children’s center instructional permit, or children’s center supervision permit which credential or permit authorizes the holder to provide instruction to pupils in preschool, kindergarten, any of grades 1 to 12, inclusive or classes primarily organized for adults. </w:t>
      </w:r>
    </w:p>
    <w:p w14:paraId="56AE682F" w14:textId="77777777" w:rsidR="00C4426A" w:rsidRPr="00C4426A" w:rsidRDefault="00C4426A" w:rsidP="00C4426A">
      <w:pPr>
        <w:autoSpaceDE w:val="0"/>
        <w:autoSpaceDN w:val="0"/>
        <w:adjustRightInd w:val="0"/>
        <w:rPr>
          <w:color w:val="000000"/>
        </w:rPr>
      </w:pPr>
    </w:p>
    <w:p w14:paraId="7BDFB71A" w14:textId="77777777" w:rsidR="008E043A" w:rsidRPr="000725B6" w:rsidRDefault="008E043A" w:rsidP="0082302B">
      <w:pPr>
        <w:pStyle w:val="Heading3"/>
      </w:pPr>
      <w:bookmarkStart w:id="58" w:name="S3_PrepCS"/>
      <w:bookmarkStart w:id="59" w:name="_Toc337553977"/>
      <w:bookmarkStart w:id="60" w:name="_Toc135655557"/>
      <w:r w:rsidRPr="000725B6">
        <w:t>Preparing Responses to the Common Standards</w:t>
      </w:r>
      <w:bookmarkEnd w:id="59"/>
      <w:bookmarkEnd w:id="60"/>
      <w:r w:rsidRPr="000725B6">
        <w:t xml:space="preserve"> </w:t>
      </w:r>
    </w:p>
    <w:bookmarkEnd w:id="58"/>
    <w:p w14:paraId="50804D17" w14:textId="77777777" w:rsidR="008E043A" w:rsidRPr="00EB645D" w:rsidRDefault="008E043A" w:rsidP="00A72CD6">
      <w:pPr>
        <w:jc w:val="both"/>
      </w:pPr>
      <w:r w:rsidRPr="00EB645D">
        <w:t xml:space="preserve">The Commission adopted </w:t>
      </w:r>
      <w:r>
        <w:t>ni</w:t>
      </w:r>
      <w:smartTag w:uri="urn:schemas-microsoft-com:office:smarttags" w:element="PersonName">
        <w:r>
          <w:t>ne</w:t>
        </w:r>
      </w:smartTag>
      <w:r w:rsidRPr="00EB645D">
        <w:t xml:space="preserve"> standards that relate to institutional resource</w:t>
      </w:r>
      <w:r w:rsidR="00EA5C38">
        <w:t>s</w:t>
      </w:r>
      <w:r w:rsidRPr="00EB645D">
        <w:t xml:space="preserve"> available to all teacher preparation programs across </w:t>
      </w:r>
      <w:r w:rsidRPr="00EB645D">
        <w:rPr>
          <w:i/>
        </w:rPr>
        <w:t>all</w:t>
      </w:r>
      <w:r w:rsidRPr="00EB645D">
        <w:t xml:space="preserve"> authorizations and subject matter discipli</w:t>
      </w:r>
      <w:smartTag w:uri="urn:schemas-microsoft-com:office:smarttags" w:element="PersonName">
        <w:r w:rsidRPr="00EB645D">
          <w:t>ne</w:t>
        </w:r>
      </w:smartTag>
      <w:r w:rsidRPr="00EB645D">
        <w:t>s:</w:t>
      </w:r>
    </w:p>
    <w:p w14:paraId="651A53E1"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tab/>
      </w:r>
      <w:r w:rsidRPr="00EB645D">
        <w:t>Standard</w:t>
      </w:r>
      <w:r w:rsidRPr="00EB645D">
        <w:tab/>
        <w:t>1</w:t>
      </w:r>
      <w:r w:rsidRPr="00EB645D">
        <w:tab/>
      </w:r>
      <w:smartTag w:uri="urn:schemas-microsoft-com:office:smarttags" w:element="PersonName">
        <w:r w:rsidRPr="00571034">
          <w:rPr>
            <w:bCs/>
          </w:rPr>
          <w:t>Ed</w:t>
        </w:r>
      </w:smartTag>
      <w:r w:rsidRPr="00571034">
        <w:rPr>
          <w:bCs/>
        </w:rPr>
        <w:t>ucational Leadership</w:t>
      </w:r>
    </w:p>
    <w:p w14:paraId="3E10C77D"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rsidRPr="00EB645D">
        <w:tab/>
        <w:t>Standard</w:t>
      </w:r>
      <w:r w:rsidRPr="00EB645D">
        <w:tab/>
        <w:t>2</w:t>
      </w:r>
      <w:r w:rsidRPr="00EB645D">
        <w:tab/>
      </w:r>
      <w:r>
        <w:t xml:space="preserve">Unit and Program Assessment and Evaluation </w:t>
      </w:r>
    </w:p>
    <w:p w14:paraId="24C1DDB4"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rsidRPr="00EB645D">
        <w:tab/>
        <w:t>Standard</w:t>
      </w:r>
      <w:r w:rsidRPr="00EB645D">
        <w:tab/>
        <w:t>3</w:t>
      </w:r>
      <w:r w:rsidRPr="00EB645D">
        <w:tab/>
      </w:r>
      <w:r>
        <w:t>Resources</w:t>
      </w:r>
    </w:p>
    <w:p w14:paraId="3C630D52"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rsidRPr="00EB645D">
        <w:tab/>
        <w:t>Standard</w:t>
      </w:r>
      <w:r w:rsidRPr="00EB645D">
        <w:tab/>
        <w:t>4</w:t>
      </w:r>
      <w:r w:rsidRPr="00EB645D">
        <w:tab/>
      </w:r>
      <w:r>
        <w:t>Faculty and Instructional Personnel</w:t>
      </w:r>
    </w:p>
    <w:p w14:paraId="3F02CED7"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tab/>
        <w:t>Standard</w:t>
      </w:r>
      <w:r>
        <w:tab/>
        <w:t>5</w:t>
      </w:r>
      <w:r>
        <w:tab/>
        <w:t xml:space="preserve">Admission </w:t>
      </w:r>
    </w:p>
    <w:p w14:paraId="69C5F5F4"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rsidRPr="00EB645D">
        <w:tab/>
        <w:t>Standard</w:t>
      </w:r>
      <w:r w:rsidRPr="00EB645D">
        <w:tab/>
        <w:t>6</w:t>
      </w:r>
      <w:r w:rsidRPr="00EB645D">
        <w:tab/>
        <w:t>Advice a</w:t>
      </w:r>
      <w:r>
        <w:t>nd Assistance</w:t>
      </w:r>
    </w:p>
    <w:p w14:paraId="6A798866"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rsidRPr="00EB645D">
        <w:tab/>
        <w:t>Standard</w:t>
      </w:r>
      <w:r w:rsidRPr="00EB645D">
        <w:tab/>
        <w:t>7</w:t>
      </w:r>
      <w:r w:rsidRPr="00EB645D">
        <w:tab/>
      </w:r>
      <w:r>
        <w:t>Field Experience and Clinical Practice</w:t>
      </w:r>
    </w:p>
    <w:p w14:paraId="5372AD6F" w14:textId="77777777" w:rsidR="008E043A" w:rsidRDefault="008E043A" w:rsidP="00A72CD6">
      <w:pPr>
        <w:tabs>
          <w:tab w:val="left" w:pos="360"/>
          <w:tab w:val="left" w:pos="720"/>
          <w:tab w:val="right" w:pos="1620"/>
          <w:tab w:val="left" w:pos="1800"/>
          <w:tab w:val="left" w:pos="2160"/>
          <w:tab w:val="right" w:leader="dot" w:pos="9360"/>
        </w:tabs>
        <w:ind w:left="259"/>
        <w:jc w:val="both"/>
      </w:pPr>
      <w:r w:rsidRPr="00EB645D">
        <w:tab/>
        <w:t>Standard</w:t>
      </w:r>
      <w:r w:rsidRPr="00EB645D">
        <w:tab/>
        <w:t>8</w:t>
      </w:r>
      <w:r w:rsidRPr="00EB645D">
        <w:tab/>
      </w:r>
      <w:r w:rsidRPr="00571034">
        <w:rPr>
          <w:sz w:val="23"/>
          <w:szCs w:val="23"/>
        </w:rPr>
        <w:t>District</w:t>
      </w:r>
      <w:r>
        <w:rPr>
          <w:sz w:val="23"/>
          <w:szCs w:val="23"/>
        </w:rPr>
        <w:t xml:space="preserve">-Employed </w:t>
      </w:r>
      <w:r w:rsidRPr="00571034">
        <w:rPr>
          <w:sz w:val="23"/>
          <w:szCs w:val="23"/>
        </w:rPr>
        <w:t>Supervisors</w:t>
      </w:r>
    </w:p>
    <w:p w14:paraId="7174693E" w14:textId="77777777" w:rsidR="008E043A" w:rsidRPr="00EB645D" w:rsidRDefault="008E043A" w:rsidP="00A72CD6">
      <w:pPr>
        <w:tabs>
          <w:tab w:val="left" w:pos="360"/>
          <w:tab w:val="left" w:pos="720"/>
          <w:tab w:val="right" w:pos="1620"/>
          <w:tab w:val="left" w:pos="1800"/>
          <w:tab w:val="left" w:pos="2160"/>
          <w:tab w:val="right" w:leader="dot" w:pos="9360"/>
        </w:tabs>
        <w:ind w:left="259"/>
        <w:jc w:val="both"/>
      </w:pPr>
      <w:r>
        <w:tab/>
        <w:t>Standard</w:t>
      </w:r>
      <w:r>
        <w:tab/>
        <w:t>9</w:t>
      </w:r>
      <w:r>
        <w:tab/>
        <w:t>Assessment of Candidate Competence</w:t>
      </w:r>
    </w:p>
    <w:p w14:paraId="19F65B46" w14:textId="77777777" w:rsidR="008E043A" w:rsidRPr="00EB645D" w:rsidRDefault="008E043A" w:rsidP="00A72CD6">
      <w:pPr>
        <w:tabs>
          <w:tab w:val="left" w:pos="2340"/>
        </w:tabs>
        <w:ind w:left="720"/>
        <w:jc w:val="both"/>
      </w:pPr>
    </w:p>
    <w:p w14:paraId="1B1847B3" w14:textId="77777777" w:rsidR="00503108" w:rsidRPr="00E161F5" w:rsidRDefault="008E043A" w:rsidP="00A72CD6">
      <w:pPr>
        <w:pStyle w:val="BodyText2"/>
        <w:spacing w:line="240" w:lineRule="auto"/>
        <w:jc w:val="both"/>
      </w:pPr>
      <w:bookmarkStart w:id="61" w:name="_Toc335915095"/>
      <w:r w:rsidRPr="00E161F5">
        <w:t>These standards are referred to as “Common Standards” because they apply to all educator preparation programs.</w:t>
      </w:r>
      <w:r w:rsidR="0053474E" w:rsidRPr="00E161F5">
        <w:t xml:space="preserve"> The Complete Common Standards and Glossary of Terms are available on the </w:t>
      </w:r>
      <w:hyperlink r:id="rId27" w:history="1">
        <w:r w:rsidR="0053474E" w:rsidRPr="00D641D3">
          <w:rPr>
            <w:rStyle w:val="Hyperlink"/>
          </w:rPr>
          <w:t xml:space="preserve">CTC </w:t>
        </w:r>
        <w:r w:rsidR="00D641D3" w:rsidRPr="00D641D3">
          <w:rPr>
            <w:rStyle w:val="Hyperlink"/>
          </w:rPr>
          <w:t xml:space="preserve">Common Standards </w:t>
        </w:r>
        <w:r w:rsidR="0053474E" w:rsidRPr="00D641D3">
          <w:rPr>
            <w:rStyle w:val="Hyperlink"/>
          </w:rPr>
          <w:t>webpage</w:t>
        </w:r>
      </w:hyperlink>
      <w:r w:rsidR="00D641D3">
        <w:t>.</w:t>
      </w:r>
      <w:r w:rsidR="002062BE" w:rsidRPr="00E161F5">
        <w:t xml:space="preserve"> </w:t>
      </w:r>
      <w:r w:rsidRPr="00E161F5">
        <w:t xml:space="preserve">The “Common Standards” </w:t>
      </w:r>
      <w:r w:rsidR="00107EBE" w:rsidRPr="00E161F5">
        <w:t>require specific</w:t>
      </w:r>
      <w:r w:rsidRPr="00E161F5">
        <w:t xml:space="preserve"> institutional mechanisms </w:t>
      </w:r>
      <w:r w:rsidR="00107EBE" w:rsidRPr="00E161F5">
        <w:t xml:space="preserve">or infrastructure </w:t>
      </w:r>
      <w:r w:rsidRPr="00E161F5">
        <w:t xml:space="preserve">that could be common to all </w:t>
      </w:r>
      <w:r w:rsidR="00107EBE" w:rsidRPr="00E161F5">
        <w:t xml:space="preserve">Commission approved </w:t>
      </w:r>
      <w:r w:rsidRPr="00E161F5">
        <w:t xml:space="preserve">credential and certificate programs.   </w:t>
      </w:r>
      <w:r w:rsidR="00503108" w:rsidRPr="00E161F5">
        <w:t>The</w:t>
      </w:r>
      <w:r w:rsidR="0095431E" w:rsidRPr="00E161F5">
        <w:t xml:space="preserve"> current</w:t>
      </w:r>
      <w:r w:rsidR="00503108" w:rsidRPr="00E161F5">
        <w:t xml:space="preserve"> Common Standards were ad</w:t>
      </w:r>
      <w:r w:rsidR="003065CB" w:rsidRPr="00E161F5">
        <w:t>opted by the Commission in 2008.</w:t>
      </w:r>
      <w:bookmarkEnd w:id="61"/>
    </w:p>
    <w:p w14:paraId="0D836B82" w14:textId="77777777" w:rsidR="000F7788" w:rsidRPr="00E161F5" w:rsidRDefault="0095431E" w:rsidP="00A72CD6">
      <w:pPr>
        <w:pStyle w:val="BodyText2"/>
        <w:spacing w:line="240" w:lineRule="auto"/>
        <w:jc w:val="both"/>
      </w:pPr>
      <w:bookmarkStart w:id="62" w:name="_Toc335915096"/>
      <w:r w:rsidRPr="00E161F5">
        <w:t>Once an I</w:t>
      </w:r>
      <w:r w:rsidR="00503108" w:rsidRPr="00E161F5">
        <w:t>nstitution</w:t>
      </w:r>
      <w:r w:rsidRPr="00E161F5">
        <w:t xml:space="preserve"> has </w:t>
      </w:r>
      <w:r w:rsidR="0053474E" w:rsidRPr="00E161F5">
        <w:t xml:space="preserve">addressed the nine common standards and has </w:t>
      </w:r>
      <w:r w:rsidRPr="00E161F5">
        <w:t>institutional approval</w:t>
      </w:r>
      <w:r w:rsidR="0053474E" w:rsidRPr="00E161F5">
        <w:t xml:space="preserve"> of the Commission</w:t>
      </w:r>
      <w:r w:rsidRPr="00E161F5">
        <w:t>, the</w:t>
      </w:r>
      <w:r w:rsidR="00503108" w:rsidRPr="00E161F5">
        <w:t xml:space="preserve"> program sponsor </w:t>
      </w:r>
      <w:r w:rsidR="0058370D" w:rsidRPr="00E161F5">
        <w:t xml:space="preserve">applying for a new program </w:t>
      </w:r>
      <w:r w:rsidR="00107EBE" w:rsidRPr="00E161F5">
        <w:t xml:space="preserve">need </w:t>
      </w:r>
      <w:hyperlink r:id="rId28" w:history="1">
        <w:r w:rsidR="00107EBE" w:rsidRPr="00D641D3">
          <w:rPr>
            <w:rStyle w:val="Hyperlink"/>
          </w:rPr>
          <w:t xml:space="preserve">only </w:t>
        </w:r>
        <w:r w:rsidR="00503108" w:rsidRPr="00D641D3">
          <w:rPr>
            <w:rStyle w:val="Hyperlink"/>
          </w:rPr>
          <w:t xml:space="preserve">submit a </w:t>
        </w:r>
        <w:r w:rsidR="00F22346" w:rsidRPr="00D641D3">
          <w:rPr>
            <w:rStyle w:val="Hyperlink"/>
          </w:rPr>
          <w:t>Common Standards A</w:t>
        </w:r>
        <w:r w:rsidR="00503108" w:rsidRPr="00D641D3">
          <w:rPr>
            <w:rStyle w:val="Hyperlink"/>
          </w:rPr>
          <w:t>ddendum</w:t>
        </w:r>
      </w:hyperlink>
      <w:r w:rsidR="00F22346" w:rsidRPr="00E161F5">
        <w:t xml:space="preserve"> </w:t>
      </w:r>
      <w:r w:rsidR="00503108" w:rsidRPr="00E161F5">
        <w:t xml:space="preserve">addressing any information that is specific to the bilingual teacher preparation program relative to the </w:t>
      </w:r>
      <w:r w:rsidR="00107EBE" w:rsidRPr="00E161F5">
        <w:t>i</w:t>
      </w:r>
      <w:r w:rsidR="00503108" w:rsidRPr="00E161F5">
        <w:t xml:space="preserve">nstitution’s </w:t>
      </w:r>
      <w:r w:rsidR="0058370D" w:rsidRPr="00E161F5">
        <w:t>approved</w:t>
      </w:r>
      <w:r w:rsidR="00107EBE" w:rsidRPr="00E161F5">
        <w:t xml:space="preserve"> </w:t>
      </w:r>
      <w:r w:rsidR="00503108" w:rsidRPr="00E161F5">
        <w:t>Common Standards.</w:t>
      </w:r>
      <w:r w:rsidR="002062BE" w:rsidRPr="00E161F5">
        <w:t xml:space="preserve"> It is important to use common terminology as defined in the Common Standards Glossary of Terms.</w:t>
      </w:r>
      <w:bookmarkEnd w:id="62"/>
    </w:p>
    <w:p w14:paraId="05C006AA" w14:textId="77777777" w:rsidR="0094101B" w:rsidRPr="00EB645D" w:rsidRDefault="0094101B" w:rsidP="00A72CD6">
      <w:pPr>
        <w:tabs>
          <w:tab w:val="left" w:pos="360"/>
          <w:tab w:val="left" w:pos="720"/>
          <w:tab w:val="right" w:pos="1620"/>
          <w:tab w:val="left" w:pos="1800"/>
          <w:tab w:val="left" w:pos="2160"/>
          <w:tab w:val="right" w:leader="dot" w:pos="9360"/>
        </w:tabs>
        <w:ind w:left="259"/>
        <w:jc w:val="both"/>
      </w:pPr>
    </w:p>
    <w:p w14:paraId="32CC5038" w14:textId="77777777" w:rsidR="008E043A" w:rsidRPr="000725B6" w:rsidRDefault="008E043A" w:rsidP="0082302B">
      <w:pPr>
        <w:pStyle w:val="Heading3"/>
      </w:pPr>
      <w:bookmarkStart w:id="63" w:name="S3_PrepPS"/>
      <w:bookmarkStart w:id="64" w:name="_Toc337553978"/>
      <w:bookmarkStart w:id="65" w:name="_Toc135655558"/>
      <w:r w:rsidRPr="000725B6">
        <w:t xml:space="preserve">Preparing Responses to </w:t>
      </w:r>
      <w:r w:rsidR="0073338B">
        <w:t xml:space="preserve">the </w:t>
      </w:r>
      <w:r w:rsidRPr="000725B6">
        <w:t>Program Standards</w:t>
      </w:r>
      <w:bookmarkEnd w:id="64"/>
      <w:bookmarkEnd w:id="65"/>
    </w:p>
    <w:bookmarkEnd w:id="63"/>
    <w:p w14:paraId="632E517A" w14:textId="77777777" w:rsidR="008E043A" w:rsidRPr="00EB645D" w:rsidRDefault="008E043A" w:rsidP="00A72CD6">
      <w:pPr>
        <w:jc w:val="both"/>
      </w:pPr>
      <w:r>
        <w:t>P</w:t>
      </w:r>
      <w:r w:rsidRPr="00EB645D">
        <w:t xml:space="preserve">rogram proposals </w:t>
      </w:r>
      <w:r>
        <w:t xml:space="preserve">must </w:t>
      </w:r>
      <w:r w:rsidRPr="00EB645D">
        <w:t>provide sufficient information about how the program intends to deliver content consistent with each standard so that a knowledgeable team of professionals can determi</w:t>
      </w:r>
      <w:smartTag w:uri="urn:schemas-microsoft-com:office:smarttags" w:element="PersonName">
        <w:r w:rsidRPr="00EB645D">
          <w:t>ne</w:t>
        </w:r>
      </w:smartTag>
      <w:r w:rsidRPr="00EB645D">
        <w:t xml:space="preserve"> whether each standard has been met by the program.  The goal in writing the response to any standard should be to describe the proposed program clearly enough for an outside reader to understand what a prospective </w:t>
      </w:r>
      <w:r w:rsidR="0058370D">
        <w:t xml:space="preserve">bilingual </w:t>
      </w:r>
      <w:r w:rsidRPr="00EB645D">
        <w:t>teacher will experience, as he or she progresses through the program in terms of depth, breadth, and sequencing of instructional and field experiences, and what he or she will know and be able to do and demonstrate at the end of the program.  Review teams will then be able to assess the responses for consistency with the standard, complete</w:t>
      </w:r>
      <w:smartTag w:uri="urn:schemas-microsoft-com:office:smarttags" w:element="PersonName">
        <w:r w:rsidRPr="00EB645D">
          <w:t>ne</w:t>
        </w:r>
      </w:smartTag>
      <w:r w:rsidRPr="00EB645D">
        <w:t>ss of the response, and quality of the supporting evidence.</w:t>
      </w:r>
      <w:r>
        <w:t xml:space="preserve"> Evidence and assessment tools must be incorporated to indicate how the candidate demonstrates competence.</w:t>
      </w:r>
    </w:p>
    <w:p w14:paraId="02F8AD0F" w14:textId="77777777" w:rsidR="008E043A" w:rsidRPr="00EB645D" w:rsidRDefault="008E043A" w:rsidP="00A72CD6">
      <w:pPr>
        <w:jc w:val="both"/>
      </w:pPr>
      <w:r w:rsidRPr="00EB645D">
        <w:t xml:space="preserve"> </w:t>
      </w:r>
    </w:p>
    <w:p w14:paraId="1913D5F8" w14:textId="77777777" w:rsidR="00A2180F" w:rsidRDefault="008E043A" w:rsidP="00A72CD6">
      <w:pPr>
        <w:jc w:val="both"/>
      </w:pPr>
      <w:r w:rsidRPr="00EB645D">
        <w:t xml:space="preserve">The written text should be organized in the same format as the standard itself. </w:t>
      </w:r>
      <w:r w:rsidRPr="002E54E1">
        <w:t xml:space="preserve">Responses that do not address </w:t>
      </w:r>
      <w:r w:rsidRPr="00823B35">
        <w:rPr>
          <w:u w:val="single"/>
        </w:rPr>
        <w:t>each</w:t>
      </w:r>
      <w:r w:rsidRPr="002E54E1">
        <w:t xml:space="preserve"> portion of each standard will be considered incomplete.</w:t>
      </w:r>
      <w:r w:rsidRPr="00EB645D">
        <w:t xml:space="preserve">  Responses should not merely reiterate the standard. They should demonstrate </w:t>
      </w:r>
      <w:r w:rsidRPr="00F81B27">
        <w:rPr>
          <w:b/>
          <w:i/>
        </w:rPr>
        <w:t>how</w:t>
      </w:r>
      <w:r w:rsidRPr="00EB645D">
        <w:t xml:space="preserve"> the standard will be met by describing both the content and processes that will be used to implement the program and by providing evidence to support the explanation</w:t>
      </w:r>
      <w:r w:rsidRPr="0002059C">
        <w:t xml:space="preserve">.  </w:t>
      </w:r>
    </w:p>
    <w:p w14:paraId="29044372" w14:textId="77777777" w:rsidR="00A2180F" w:rsidRDefault="00A2180F" w:rsidP="00A72CD6">
      <w:pPr>
        <w:jc w:val="both"/>
      </w:pPr>
    </w:p>
    <w:p w14:paraId="239C274F" w14:textId="77777777" w:rsidR="00846402" w:rsidRDefault="001C7DC5" w:rsidP="00A72CD6">
      <w:pPr>
        <w:jc w:val="both"/>
        <w:rPr>
          <w:color w:val="000000"/>
        </w:rPr>
      </w:pPr>
      <w:r w:rsidRPr="0002059C">
        <w:rPr>
          <w:color w:val="000000"/>
        </w:rPr>
        <w:lastRenderedPageBreak/>
        <w:t xml:space="preserve">Some standards provide </w:t>
      </w:r>
      <w:r w:rsidRPr="0002059C">
        <w:rPr>
          <w:b/>
          <w:color w:val="000000"/>
        </w:rPr>
        <w:t xml:space="preserve">Program Planning Questions </w:t>
      </w:r>
      <w:r w:rsidRPr="0002059C">
        <w:rPr>
          <w:color w:val="000000"/>
        </w:rPr>
        <w:t>to guide institutions in developing programs that meet the standards</w:t>
      </w:r>
      <w:r w:rsidR="003D16D8" w:rsidRPr="0002059C">
        <w:rPr>
          <w:color w:val="000000"/>
        </w:rPr>
        <w:t>.</w:t>
      </w:r>
      <w:r w:rsidR="0002059C" w:rsidRPr="0002059C">
        <w:rPr>
          <w:color w:val="000000"/>
        </w:rPr>
        <w:t xml:space="preserve"> </w:t>
      </w:r>
      <w:r w:rsidR="0058370D">
        <w:rPr>
          <w:color w:val="000000"/>
        </w:rPr>
        <w:t xml:space="preserve">Institutions </w:t>
      </w:r>
      <w:r w:rsidR="0058370D" w:rsidRPr="0058370D">
        <w:rPr>
          <w:b/>
          <w:color w:val="000000"/>
          <w:u w:val="single"/>
        </w:rPr>
        <w:t>do</w:t>
      </w:r>
      <w:r w:rsidR="001A52A6" w:rsidRPr="0058370D">
        <w:rPr>
          <w:b/>
          <w:color w:val="000000"/>
          <w:u w:val="single"/>
        </w:rPr>
        <w:t xml:space="preserve"> </w:t>
      </w:r>
      <w:r w:rsidR="0058370D" w:rsidRPr="0058370D">
        <w:rPr>
          <w:b/>
          <w:color w:val="000000"/>
          <w:u w:val="single"/>
        </w:rPr>
        <w:t>not</w:t>
      </w:r>
      <w:r w:rsidR="001A52A6" w:rsidRPr="0002059C">
        <w:rPr>
          <w:color w:val="000000"/>
        </w:rPr>
        <w:t xml:space="preserve"> </w:t>
      </w:r>
      <w:smartTag w:uri="urn:schemas-microsoft-com:office:smarttags" w:element="PersonName">
        <w:r w:rsidR="001A52A6" w:rsidRPr="0002059C">
          <w:rPr>
            <w:color w:val="000000"/>
          </w:rPr>
          <w:t>ne</w:t>
        </w:r>
      </w:smartTag>
      <w:r w:rsidR="001A52A6" w:rsidRPr="0002059C">
        <w:rPr>
          <w:color w:val="000000"/>
        </w:rPr>
        <w:t>ed to develop responses to each Program Planning Question</w:t>
      </w:r>
      <w:r w:rsidR="00A2180F">
        <w:rPr>
          <w:color w:val="000000"/>
        </w:rPr>
        <w:t>, only the standard.</w:t>
      </w:r>
      <w:r w:rsidR="001A52A6" w:rsidRPr="0002059C">
        <w:rPr>
          <w:color w:val="000000"/>
        </w:rPr>
        <w:t xml:space="preserve">  </w:t>
      </w:r>
    </w:p>
    <w:p w14:paraId="389CD2B3" w14:textId="77777777" w:rsidR="008E043A" w:rsidRPr="00EB645D" w:rsidRDefault="008E043A" w:rsidP="00A72CD6">
      <w:pPr>
        <w:jc w:val="both"/>
        <w:rPr>
          <w:color w:val="FF6600"/>
        </w:rPr>
      </w:pPr>
    </w:p>
    <w:p w14:paraId="734BDE10" w14:textId="77777777" w:rsidR="008E043A" w:rsidRPr="00EB645D" w:rsidRDefault="008E043A" w:rsidP="00A72CD6">
      <w:pPr>
        <w:jc w:val="both"/>
      </w:pPr>
      <w:r>
        <w:t>S</w:t>
      </w:r>
      <w:r w:rsidRPr="00EB645D">
        <w:t>uitable evidence will vary with each standard.  Some examples of evidence helpful for review teams include:</w:t>
      </w:r>
    </w:p>
    <w:p w14:paraId="4092FF21" w14:textId="77777777" w:rsidR="008E043A" w:rsidRPr="00EB645D" w:rsidRDefault="008E043A" w:rsidP="00A72CD6">
      <w:pPr>
        <w:numPr>
          <w:ilvl w:val="0"/>
          <w:numId w:val="3"/>
        </w:numPr>
        <w:tabs>
          <w:tab w:val="clear" w:pos="360"/>
          <w:tab w:val="num" w:pos="1080"/>
        </w:tabs>
        <w:ind w:left="1080"/>
        <w:jc w:val="both"/>
      </w:pPr>
      <w:r w:rsidRPr="00EB645D">
        <w:t xml:space="preserve">Charts and graphic organizers to illustrate program organization and </w:t>
      </w:r>
      <w:proofErr w:type="gramStart"/>
      <w:r w:rsidRPr="00EB645D">
        <w:t>design</w:t>
      </w:r>
      <w:proofErr w:type="gramEnd"/>
      <w:r w:rsidRPr="00EB645D">
        <w:t xml:space="preserve"> </w:t>
      </w:r>
    </w:p>
    <w:p w14:paraId="62525D71" w14:textId="77777777" w:rsidR="008E043A" w:rsidRPr="00EB645D" w:rsidRDefault="008E043A" w:rsidP="00A72CD6">
      <w:pPr>
        <w:numPr>
          <w:ilvl w:val="0"/>
          <w:numId w:val="5"/>
        </w:numPr>
        <w:tabs>
          <w:tab w:val="clear" w:pos="360"/>
          <w:tab w:val="num" w:pos="1080"/>
        </w:tabs>
        <w:ind w:left="1080"/>
        <w:jc w:val="both"/>
      </w:pPr>
      <w:r w:rsidRPr="00EB645D">
        <w:t>Descriptions of faculty qualifications, including vitae for full time faculty</w:t>
      </w:r>
    </w:p>
    <w:p w14:paraId="0CD7AAB2" w14:textId="77777777" w:rsidR="008E043A" w:rsidRPr="00EB645D" w:rsidRDefault="008E043A" w:rsidP="00A72CD6">
      <w:pPr>
        <w:numPr>
          <w:ilvl w:val="0"/>
          <w:numId w:val="2"/>
        </w:numPr>
        <w:jc w:val="both"/>
      </w:pPr>
      <w:r w:rsidRPr="00EB645D">
        <w:t>Course or module outli</w:t>
      </w:r>
      <w:smartTag w:uri="urn:schemas-microsoft-com:office:smarttags" w:element="PersonName">
        <w:r w:rsidRPr="00EB645D">
          <w:t>ne</w:t>
        </w:r>
      </w:smartTag>
      <w:r w:rsidRPr="00EB645D">
        <w:t xml:space="preserve">s, or </w:t>
      </w:r>
      <w:r>
        <w:t xml:space="preserve">graphic organizers </w:t>
      </w:r>
      <w:r w:rsidRPr="00EB645D">
        <w:t xml:space="preserve">showing the sequence of course topics, classroom activities, materials and texts used, and out-of-class </w:t>
      </w:r>
      <w:proofErr w:type="gramStart"/>
      <w:r w:rsidRPr="00EB645D">
        <w:t>assignments</w:t>
      </w:r>
      <w:proofErr w:type="gramEnd"/>
      <w:r w:rsidRPr="00EB645D">
        <w:t xml:space="preserve"> </w:t>
      </w:r>
    </w:p>
    <w:p w14:paraId="48BC1EB1" w14:textId="77777777" w:rsidR="008E043A" w:rsidRPr="00EB645D" w:rsidRDefault="008E043A" w:rsidP="00A72CD6">
      <w:pPr>
        <w:numPr>
          <w:ilvl w:val="0"/>
          <w:numId w:val="2"/>
        </w:numPr>
        <w:jc w:val="both"/>
      </w:pPr>
      <w:r w:rsidRPr="00EB645D">
        <w:t xml:space="preserve">Specific descriptions of assignments and other formative assessments that demonstrate how prospective teachers will reinforce and extend key concepts and/or demonstrate an ability or </w:t>
      </w:r>
      <w:proofErr w:type="gramStart"/>
      <w:r w:rsidRPr="00EB645D">
        <w:t>competence</w:t>
      </w:r>
      <w:proofErr w:type="gramEnd"/>
    </w:p>
    <w:p w14:paraId="73F256B2" w14:textId="77777777" w:rsidR="008E043A" w:rsidRPr="00EB645D" w:rsidRDefault="008E043A" w:rsidP="00A72CD6">
      <w:pPr>
        <w:numPr>
          <w:ilvl w:val="0"/>
          <w:numId w:val="2"/>
        </w:numPr>
        <w:jc w:val="both"/>
      </w:pPr>
      <w:r w:rsidRPr="00EB645D">
        <w:t>Documentation of materials to be used, including tables of contents of textbooks and identification of assignments from the texts, and citations for other reading assignments.</w:t>
      </w:r>
    </w:p>
    <w:p w14:paraId="32F4E82C" w14:textId="77777777" w:rsidR="008E043A" w:rsidRDefault="008E043A" w:rsidP="00A72CD6">
      <w:pPr>
        <w:numPr>
          <w:ilvl w:val="0"/>
          <w:numId w:val="2"/>
        </w:numPr>
        <w:jc w:val="both"/>
      </w:pPr>
      <w:r w:rsidRPr="00EB645D">
        <w:t xml:space="preserve">Current </w:t>
      </w:r>
      <w:r w:rsidR="00596C6F">
        <w:t xml:space="preserve">or proposed </w:t>
      </w:r>
      <w:r w:rsidRPr="00EB645D">
        <w:t>catalog descriptions.</w:t>
      </w:r>
    </w:p>
    <w:p w14:paraId="787B9D0C" w14:textId="77777777" w:rsidR="0002059C" w:rsidRDefault="0002059C" w:rsidP="00A72CD6">
      <w:pPr>
        <w:jc w:val="both"/>
      </w:pPr>
    </w:p>
    <w:p w14:paraId="3944D6FC" w14:textId="77777777" w:rsidR="000E3B39" w:rsidRDefault="000E3B39" w:rsidP="000E3B39">
      <w:pPr>
        <w:jc w:val="both"/>
      </w:pPr>
      <w:r w:rsidRPr="00F35BF6">
        <w:t xml:space="preserve">For candidates who may complete the program by a combination of CSET: LOTE examination and coursework, the program proposal should clearly indicate which courses </w:t>
      </w:r>
      <w:r>
        <w:t xml:space="preserve">or program components </w:t>
      </w:r>
      <w:r w:rsidRPr="00F35BF6">
        <w:t xml:space="preserve">will be waived if an individual has passed one or more subtests of the CSET: LOTE examination. A table for a program to indicate which </w:t>
      </w:r>
      <w:proofErr w:type="gramStart"/>
      <w:r w:rsidRPr="00F35BF6">
        <w:t>CSET:LOTE</w:t>
      </w:r>
      <w:proofErr w:type="gramEnd"/>
      <w:r w:rsidRPr="00F35BF6">
        <w:t xml:space="preserve"> subtests and domains are aligned with which courses in the proposed program is provided in </w:t>
      </w:r>
      <w:hyperlink w:anchor="Appendix_D" w:history="1">
        <w:r w:rsidRPr="00251A71">
          <w:rPr>
            <w:rStyle w:val="Hyperlink"/>
            <w:i/>
          </w:rPr>
          <w:t>Appendix D</w:t>
        </w:r>
      </w:hyperlink>
      <w:r w:rsidRPr="00251A71">
        <w:t>.</w:t>
      </w:r>
    </w:p>
    <w:p w14:paraId="20F864AE" w14:textId="77777777" w:rsidR="000E3B39" w:rsidRDefault="000E3B39" w:rsidP="00A72CD6">
      <w:pPr>
        <w:jc w:val="both"/>
      </w:pPr>
    </w:p>
    <w:p w14:paraId="743B2699" w14:textId="77777777" w:rsidR="00406113" w:rsidRPr="00A72CD6" w:rsidRDefault="0058370D" w:rsidP="00A72CD6">
      <w:pPr>
        <w:jc w:val="both"/>
      </w:pPr>
      <w:r w:rsidRPr="00E161F5">
        <w:t>Prior to submitting a</w:t>
      </w:r>
      <w:r w:rsidR="00406113" w:rsidRPr="00E161F5">
        <w:t xml:space="preserve"> program document</w:t>
      </w:r>
      <w:r w:rsidRPr="00E161F5">
        <w:t xml:space="preserve"> to Initial Program Review</w:t>
      </w:r>
      <w:r w:rsidR="00406113" w:rsidRPr="00E161F5">
        <w:t>, institutions should confirm that all format</w:t>
      </w:r>
      <w:r w:rsidRPr="00E161F5">
        <w:t>ting</w:t>
      </w:r>
      <w:r w:rsidR="00406113" w:rsidRPr="00E161F5">
        <w:t xml:space="preserve"> and content guidelines are followed </w:t>
      </w:r>
      <w:r w:rsidRPr="00E161F5">
        <w:t xml:space="preserve">as per the </w:t>
      </w:r>
      <w:hyperlink r:id="rId29" w:anchor="submission" w:history="1">
        <w:r w:rsidRPr="004A5EB2">
          <w:rPr>
            <w:rStyle w:val="Hyperlink"/>
          </w:rPr>
          <w:t>Submission Guidelines, Document Formatting and Transmission Requirements</w:t>
        </w:r>
      </w:hyperlink>
      <w:r w:rsidRPr="00E161F5">
        <w:t xml:space="preserve"> </w:t>
      </w:r>
      <w:r w:rsidR="00406113" w:rsidRPr="00A72CD6">
        <w:t xml:space="preserve">and that </w:t>
      </w:r>
      <w:r w:rsidR="00676F57" w:rsidRPr="00A72CD6">
        <w:t xml:space="preserve">the </w:t>
      </w:r>
      <w:r w:rsidR="00406113" w:rsidRPr="00A72CD6">
        <w:t>respon</w:t>
      </w:r>
      <w:r w:rsidR="00676F57" w:rsidRPr="00A72CD6">
        <w:t>se</w:t>
      </w:r>
      <w:r w:rsidR="00406113" w:rsidRPr="00A72CD6">
        <w:t xml:space="preserve"> to each standard </w:t>
      </w:r>
      <w:r w:rsidR="00676F57" w:rsidRPr="00A72CD6">
        <w:t>is complete</w:t>
      </w:r>
      <w:r w:rsidR="003E76E4" w:rsidRPr="00A72CD6">
        <w:t xml:space="preserve"> including;</w:t>
      </w:r>
    </w:p>
    <w:p w14:paraId="1C44AF0D" w14:textId="77777777" w:rsidR="00406113" w:rsidRPr="00A72CD6" w:rsidRDefault="00406113" w:rsidP="00A72CD6">
      <w:pPr>
        <w:numPr>
          <w:ilvl w:val="0"/>
          <w:numId w:val="13"/>
        </w:numPr>
        <w:jc w:val="both"/>
      </w:pPr>
      <w:r w:rsidRPr="00A72CD6">
        <w:t xml:space="preserve">Narrative Responses indicating ‘how’ the program meets each </w:t>
      </w:r>
      <w:r w:rsidR="00776BF6" w:rsidRPr="00A72CD6">
        <w:t xml:space="preserve">sentence </w:t>
      </w:r>
      <w:r w:rsidRPr="00A72CD6">
        <w:t>of the standard</w:t>
      </w:r>
      <w:r w:rsidR="00776BF6" w:rsidRPr="00A72CD6">
        <w:t>.</w:t>
      </w:r>
      <w:r w:rsidRPr="00A72CD6">
        <w:t xml:space="preserve"> </w:t>
      </w:r>
    </w:p>
    <w:p w14:paraId="11FC35C1" w14:textId="77777777" w:rsidR="00406113" w:rsidRPr="00A72CD6" w:rsidRDefault="00406113" w:rsidP="00A72CD6">
      <w:pPr>
        <w:numPr>
          <w:ilvl w:val="0"/>
          <w:numId w:val="13"/>
        </w:numPr>
        <w:jc w:val="both"/>
      </w:pPr>
      <w:r w:rsidRPr="00A72CD6">
        <w:t xml:space="preserve">Evidence clarifying ‘how’ the </w:t>
      </w:r>
      <w:r w:rsidR="00776BF6" w:rsidRPr="00A72CD6">
        <w:t>standards are</w:t>
      </w:r>
      <w:r w:rsidRPr="00A72CD6">
        <w:t xml:space="preserve"> </w:t>
      </w:r>
      <w:r w:rsidR="00776BF6" w:rsidRPr="00A72CD6">
        <w:t>met</w:t>
      </w:r>
      <w:r w:rsidRPr="00A72CD6">
        <w:t xml:space="preserve"> including course syllabi, and other documentation</w:t>
      </w:r>
      <w:r w:rsidR="00776BF6" w:rsidRPr="00A72CD6">
        <w:t xml:space="preserve">.  </w:t>
      </w:r>
    </w:p>
    <w:p w14:paraId="13A6F127" w14:textId="77777777" w:rsidR="00676F57" w:rsidRPr="00A72CD6" w:rsidRDefault="00406113" w:rsidP="00A72CD6">
      <w:pPr>
        <w:numPr>
          <w:ilvl w:val="0"/>
          <w:numId w:val="13"/>
        </w:numPr>
        <w:jc w:val="both"/>
      </w:pPr>
      <w:r w:rsidRPr="00A72CD6">
        <w:t xml:space="preserve">Specifics on ‘how’ candidate competence will be determined including </w:t>
      </w:r>
      <w:r w:rsidR="006F27EB">
        <w:t xml:space="preserve">proposed </w:t>
      </w:r>
      <w:r w:rsidRPr="00A72CD6">
        <w:t>assessment measures</w:t>
      </w:r>
      <w:r w:rsidR="00776BF6" w:rsidRPr="00A72CD6">
        <w:t>.</w:t>
      </w:r>
      <w:r w:rsidR="00E161F5">
        <w:t xml:space="preserve"> </w:t>
      </w:r>
    </w:p>
    <w:p w14:paraId="067E15F3" w14:textId="77777777" w:rsidR="00346904" w:rsidRDefault="00346904" w:rsidP="00A72CD6">
      <w:pPr>
        <w:jc w:val="both"/>
        <w:rPr>
          <w:highlight w:val="yellow"/>
        </w:rPr>
      </w:pPr>
    </w:p>
    <w:p w14:paraId="2E1CC845" w14:textId="77777777" w:rsidR="00E161F5" w:rsidRPr="00F26EF6" w:rsidRDefault="00E161F5" w:rsidP="00F26EF6">
      <w:pPr>
        <w:pStyle w:val="Style3"/>
      </w:pPr>
      <w:bookmarkStart w:id="66" w:name="S3_PrepPS_Clarification6"/>
      <w:bookmarkStart w:id="67" w:name="_Toc337553979"/>
      <w:r w:rsidRPr="00F26EF6">
        <w:t xml:space="preserve">Clarification </w:t>
      </w:r>
      <w:r w:rsidR="000E3B39" w:rsidRPr="00F26EF6">
        <w:t xml:space="preserve">for </w:t>
      </w:r>
      <w:r w:rsidR="00596C6F" w:rsidRPr="00F26EF6">
        <w:t xml:space="preserve">Program Standard 6: </w:t>
      </w:r>
      <w:r w:rsidR="006F27EB" w:rsidRPr="00F26EF6">
        <w:t>Assessment of Candidate Language Competence</w:t>
      </w:r>
      <w:bookmarkEnd w:id="67"/>
      <w:r w:rsidR="006F27EB" w:rsidRPr="00F26EF6" w:rsidDel="006F27EB">
        <w:t xml:space="preserve"> </w:t>
      </w:r>
    </w:p>
    <w:bookmarkEnd w:id="66"/>
    <w:p w14:paraId="213BD35D" w14:textId="77777777" w:rsidR="009C1C01" w:rsidRDefault="00346904" w:rsidP="00A72CD6">
      <w:pPr>
        <w:jc w:val="both"/>
      </w:pPr>
      <w:r>
        <w:t xml:space="preserve">Standard 6 is unique in that it requires </w:t>
      </w:r>
      <w:r w:rsidR="00A11075">
        <w:t xml:space="preserve">that candidates must demonstrate a range of </w:t>
      </w:r>
      <w:r>
        <w:t xml:space="preserve">language competence </w:t>
      </w:r>
      <w:r w:rsidR="00A11075">
        <w:t xml:space="preserve">skills in listening, speaking, reading and writing </w:t>
      </w:r>
      <w:r>
        <w:t>equivalen</w:t>
      </w:r>
      <w:r w:rsidR="00A11075">
        <w:t>t</w:t>
      </w:r>
      <w:r>
        <w:t xml:space="preserve"> to the </w:t>
      </w:r>
      <w:proofErr w:type="gramStart"/>
      <w:r>
        <w:t>CSET:LOTE</w:t>
      </w:r>
      <w:proofErr w:type="gramEnd"/>
      <w:r>
        <w:t xml:space="preserve"> Subject </w:t>
      </w:r>
      <w:smartTag w:uri="urn:schemas-microsoft-com:office:smarttags" w:element="PersonName">
        <w:r>
          <w:t>Ma</w:t>
        </w:r>
      </w:smartTag>
      <w:r>
        <w:t>tter Requirements for Subtest II or III (Domains 5-8)</w:t>
      </w:r>
      <w:r w:rsidR="00A11075">
        <w:t>, and at a level equivalent to the passing standard for the CSET:LOTE examination</w:t>
      </w:r>
      <w:r>
        <w:t>.</w:t>
      </w:r>
      <w:r w:rsidR="00A11075">
        <w:t xml:space="preserve">  This performance level is set at a minimum</w:t>
      </w:r>
      <w:r w:rsidR="00A5243A" w:rsidRPr="00A5243A">
        <w:t xml:space="preserve"> </w:t>
      </w:r>
      <w:r w:rsidR="00A5243A">
        <w:t>of ACTFL Advanced-Low for Western languages and ACTFL Intermediate-High for non-Western languages</w:t>
      </w:r>
      <w:r w:rsidR="00A11075">
        <w:t>.</w:t>
      </w:r>
      <w:r>
        <w:t xml:space="preserve"> </w:t>
      </w:r>
      <w:r w:rsidR="002A79DC">
        <w:t xml:space="preserve">A description of performance levels exemplified by the ACTFL scales is provided in </w:t>
      </w:r>
      <w:hyperlink w:anchor="Appendix_C" w:history="1">
        <w:r w:rsidR="002A79DC" w:rsidRPr="00251A71">
          <w:rPr>
            <w:rStyle w:val="Hyperlink"/>
            <w:i/>
          </w:rPr>
          <w:t xml:space="preserve">Appendix </w:t>
        </w:r>
        <w:r w:rsidR="00F277AA" w:rsidRPr="00251A71">
          <w:rPr>
            <w:rStyle w:val="Hyperlink"/>
            <w:i/>
          </w:rPr>
          <w:t>C</w:t>
        </w:r>
      </w:hyperlink>
      <w:r w:rsidR="002A79DC" w:rsidRPr="00251A71">
        <w:t>.</w:t>
      </w:r>
      <w:r w:rsidR="002A79DC">
        <w:t xml:space="preserve"> </w:t>
      </w:r>
    </w:p>
    <w:p w14:paraId="0F285787" w14:textId="77777777" w:rsidR="009C1C01" w:rsidRDefault="009C1C01" w:rsidP="00A72CD6">
      <w:pPr>
        <w:jc w:val="both"/>
      </w:pPr>
    </w:p>
    <w:p w14:paraId="19B28720" w14:textId="77777777" w:rsidR="00346904" w:rsidRDefault="009C1C01" w:rsidP="00A72CD6">
      <w:pPr>
        <w:jc w:val="both"/>
      </w:pPr>
      <w:r>
        <w:t xml:space="preserve">Programs may choose to require candidates to complete the applicable CSET: LOTE subtest II or III (depending on the language of the authorization) to meet Program Standard 6.  Candidates who complete the program route and those who complete the examination route to establishing their language skills competency must demonstrate an equivalent level of language proficiency skills. </w:t>
      </w:r>
      <w:r w:rsidR="00346904">
        <w:t>Additional guidance for responding to Standard 6 is provided below</w:t>
      </w:r>
      <w:r w:rsidR="0006180A">
        <w:t>.</w:t>
      </w:r>
    </w:p>
    <w:p w14:paraId="70F68920" w14:textId="77777777" w:rsidR="009C1C01" w:rsidRDefault="009C1C01" w:rsidP="00A72CD6">
      <w:pPr>
        <w:jc w:val="both"/>
        <w:rPr>
          <w:b/>
        </w:rPr>
      </w:pPr>
    </w:p>
    <w:p w14:paraId="3CF77ACD" w14:textId="77777777" w:rsidR="009C1C01" w:rsidRPr="009C1C01" w:rsidRDefault="009C1C01" w:rsidP="00A72CD6">
      <w:pPr>
        <w:pStyle w:val="bulletedtext"/>
        <w:ind w:left="0" w:right="0" w:firstLine="0"/>
        <w:rPr>
          <w:color w:val="000000"/>
          <w:szCs w:val="24"/>
        </w:rPr>
      </w:pPr>
      <w:bookmarkStart w:id="68" w:name="_Toc335915097"/>
      <w:r w:rsidRPr="009C1C01">
        <w:rPr>
          <w:color w:val="000000"/>
          <w:szCs w:val="24"/>
        </w:rPr>
        <w:t xml:space="preserve">For programs that elect not to use the </w:t>
      </w:r>
      <w:proofErr w:type="gramStart"/>
      <w:r w:rsidRPr="009C1C01">
        <w:rPr>
          <w:color w:val="000000"/>
          <w:szCs w:val="24"/>
        </w:rPr>
        <w:t>CSET:LOTE</w:t>
      </w:r>
      <w:proofErr w:type="gramEnd"/>
      <w:r w:rsidRPr="009C1C01">
        <w:rPr>
          <w:color w:val="000000"/>
          <w:szCs w:val="24"/>
        </w:rPr>
        <w:t xml:space="preserve"> subtest to meet Program Standard 6, t</w:t>
      </w:r>
      <w:r w:rsidRPr="009C1C01">
        <w:rPr>
          <w:color w:val="000000"/>
        </w:rPr>
        <w:t xml:space="preserve">he program must provide information in its response to this standard to clarify how it is determined that a candidate’s </w:t>
      </w:r>
      <w:r w:rsidRPr="009C1C01">
        <w:rPr>
          <w:color w:val="000000"/>
        </w:rPr>
        <w:lastRenderedPageBreak/>
        <w:t>language skills are equivalent to the CSET: LOTE content specifications as well as, the qualifications of those individuals making the determination..</w:t>
      </w:r>
      <w:bookmarkEnd w:id="68"/>
      <w:r w:rsidRPr="009C1C01">
        <w:rPr>
          <w:color w:val="000000"/>
        </w:rPr>
        <w:t xml:space="preserve">  </w:t>
      </w:r>
    </w:p>
    <w:p w14:paraId="7D2ECCC8" w14:textId="77777777" w:rsidR="009C1C01" w:rsidRDefault="009C1C01" w:rsidP="00A72CD6">
      <w:pPr>
        <w:pStyle w:val="bulletedtext"/>
        <w:ind w:left="0" w:right="0" w:firstLine="0"/>
        <w:rPr>
          <w:szCs w:val="24"/>
        </w:rPr>
      </w:pPr>
    </w:p>
    <w:p w14:paraId="07730B59" w14:textId="77777777" w:rsidR="009C1C01" w:rsidRDefault="004E27BA" w:rsidP="009C1C01">
      <w:pPr>
        <w:jc w:val="both"/>
      </w:pPr>
      <w:r>
        <w:t>In curriculum and/or field work assignments and opportunities, t</w:t>
      </w:r>
      <w:r w:rsidR="009C1C01">
        <w:t xml:space="preserve">he program needs to address the </w:t>
      </w:r>
      <w:r>
        <w:t>equivalent</w:t>
      </w:r>
      <w:r w:rsidR="009C1C01">
        <w:t xml:space="preserve"> subject matter requirements as are addressed in Domains 5-8 of the CSET examination.  </w:t>
      </w:r>
      <w:r>
        <w:t>L</w:t>
      </w:r>
      <w:r w:rsidR="009C1C01">
        <w:t xml:space="preserve">ocal assessments </w:t>
      </w:r>
      <w:r>
        <w:t xml:space="preserve">are </w:t>
      </w:r>
      <w:r w:rsidR="009C1C01" w:rsidRPr="004E27BA">
        <w:t>a component of the program</w:t>
      </w:r>
      <w:r w:rsidR="009C1C01">
        <w:t xml:space="preserve"> for determining the language skills competence of a candidate. The type of questions that may be included in a local language proficiency skills assessment task can be modeled on the examples provided within the subject matter requirements. </w:t>
      </w:r>
      <w:r>
        <w:t>Some examples are provided below:</w:t>
      </w:r>
    </w:p>
    <w:p w14:paraId="6386FE04" w14:textId="77777777" w:rsidR="009C1C01" w:rsidRDefault="009C1C01" w:rsidP="00A72CD6">
      <w:pPr>
        <w:pStyle w:val="bulletedtext"/>
        <w:ind w:left="0" w:right="0" w:firstLine="0"/>
        <w:rPr>
          <w:szCs w:val="24"/>
        </w:rPr>
      </w:pPr>
    </w:p>
    <w:p w14:paraId="4CCBD17E" w14:textId="77777777" w:rsidR="004E27BA" w:rsidRDefault="004E27BA" w:rsidP="004E27BA">
      <w:pPr>
        <w:jc w:val="both"/>
      </w:pPr>
      <w:r>
        <w:t xml:space="preserve">For example, to demonstrate their listening skills within the program option, candidates either in coursework activities or fieldwork activities should demonstrate that they are able to: </w:t>
      </w:r>
    </w:p>
    <w:p w14:paraId="4230BA25" w14:textId="77777777" w:rsidR="009C1C01" w:rsidRPr="004F22CB" w:rsidRDefault="009C1C01" w:rsidP="009C1C01">
      <w:pPr>
        <w:pStyle w:val="bulletedtext"/>
        <w:ind w:left="600" w:right="0"/>
        <w:rPr>
          <w:szCs w:val="24"/>
        </w:rPr>
      </w:pPr>
      <w:bookmarkStart w:id="69" w:name="_Toc335915098"/>
      <w:r w:rsidRPr="004F22CB">
        <w:rPr>
          <w:szCs w:val="24"/>
        </w:rPr>
        <w:sym w:font="Symbol" w:char="F0A8"/>
      </w:r>
      <w:r w:rsidRPr="004F22CB">
        <w:rPr>
          <w:szCs w:val="24"/>
        </w:rPr>
        <w:tab/>
        <w:t>Draw conclusions based on information presented in oral messages.</w:t>
      </w:r>
      <w:bookmarkEnd w:id="69"/>
    </w:p>
    <w:p w14:paraId="62620271" w14:textId="77777777" w:rsidR="009C1C01" w:rsidRPr="004F22CB" w:rsidRDefault="009C1C01" w:rsidP="009C1C01">
      <w:pPr>
        <w:pStyle w:val="bulletedtext"/>
        <w:ind w:left="600" w:right="0"/>
        <w:rPr>
          <w:szCs w:val="24"/>
        </w:rPr>
      </w:pPr>
      <w:bookmarkStart w:id="70" w:name="_Toc335915099"/>
      <w:r w:rsidRPr="004F22CB">
        <w:rPr>
          <w:szCs w:val="24"/>
        </w:rPr>
        <w:sym w:font="Symbol" w:char="F0A8"/>
      </w:r>
      <w:r w:rsidRPr="004F22CB">
        <w:rPr>
          <w:szCs w:val="24"/>
        </w:rPr>
        <w:tab/>
        <w:t>Characterize the tone or mood of one or more speakers.</w:t>
      </w:r>
      <w:bookmarkEnd w:id="70"/>
    </w:p>
    <w:p w14:paraId="6504A38E" w14:textId="77777777" w:rsidR="009C1C01" w:rsidRPr="004F22CB" w:rsidRDefault="009C1C01" w:rsidP="009C1C01">
      <w:pPr>
        <w:pStyle w:val="bulletedtext"/>
        <w:ind w:left="600" w:right="0"/>
        <w:rPr>
          <w:szCs w:val="24"/>
        </w:rPr>
      </w:pPr>
      <w:bookmarkStart w:id="71" w:name="_Toc335915100"/>
      <w:r w:rsidRPr="004F22CB">
        <w:rPr>
          <w:szCs w:val="24"/>
        </w:rPr>
        <w:sym w:font="Symbol" w:char="F0A8"/>
      </w:r>
      <w:r w:rsidRPr="004F22CB">
        <w:rPr>
          <w:szCs w:val="24"/>
        </w:rPr>
        <w:tab/>
        <w:t>Infer the social relationships among speakers (e.g., gender, age, social status).</w:t>
      </w:r>
      <w:bookmarkEnd w:id="71"/>
    </w:p>
    <w:p w14:paraId="7E037E1C" w14:textId="77777777" w:rsidR="009C1C01" w:rsidRPr="004F22CB" w:rsidRDefault="009C1C01" w:rsidP="009C1C01">
      <w:pPr>
        <w:pStyle w:val="bulletedtext"/>
        <w:ind w:left="600" w:right="0"/>
        <w:rPr>
          <w:szCs w:val="24"/>
        </w:rPr>
      </w:pPr>
      <w:bookmarkStart w:id="72" w:name="_Toc335915101"/>
      <w:r w:rsidRPr="004F22CB">
        <w:rPr>
          <w:szCs w:val="24"/>
        </w:rPr>
        <w:sym w:font="Symbol" w:char="F0A8"/>
      </w:r>
      <w:r w:rsidRPr="004F22CB">
        <w:rPr>
          <w:szCs w:val="24"/>
        </w:rPr>
        <w:tab/>
        <w:t>Analyze a personal relationship implied but not stated in an oral communication.</w:t>
      </w:r>
      <w:bookmarkEnd w:id="72"/>
    </w:p>
    <w:p w14:paraId="6709FE37" w14:textId="77777777" w:rsidR="009C1C01" w:rsidRDefault="009C1C01" w:rsidP="009C1C01">
      <w:pPr>
        <w:pStyle w:val="bulletedtext"/>
        <w:ind w:left="600" w:right="0"/>
        <w:rPr>
          <w:szCs w:val="24"/>
        </w:rPr>
      </w:pPr>
      <w:bookmarkStart w:id="73" w:name="_Toc335915102"/>
      <w:r w:rsidRPr="004F22CB">
        <w:rPr>
          <w:szCs w:val="24"/>
        </w:rPr>
        <w:sym w:font="Symbol" w:char="F0A8"/>
      </w:r>
      <w:r w:rsidRPr="004F22CB">
        <w:rPr>
          <w:szCs w:val="24"/>
        </w:rPr>
        <w:tab/>
        <w:t>Interpret the cultural context of spoken communications.</w:t>
      </w:r>
      <w:bookmarkEnd w:id="73"/>
    </w:p>
    <w:p w14:paraId="056A828A" w14:textId="77777777" w:rsidR="009C1C01" w:rsidRDefault="009C1C01" w:rsidP="00A72CD6">
      <w:pPr>
        <w:pStyle w:val="bulletedtext"/>
        <w:ind w:left="0" w:right="0" w:firstLine="0"/>
        <w:rPr>
          <w:szCs w:val="24"/>
        </w:rPr>
      </w:pPr>
    </w:p>
    <w:p w14:paraId="621E9397" w14:textId="77777777" w:rsidR="004E27BA" w:rsidRDefault="004E27BA" w:rsidP="004E27BA">
      <w:pPr>
        <w:pStyle w:val="bulletedtext"/>
        <w:ind w:left="0" w:right="0" w:firstLine="0"/>
      </w:pPr>
      <w:bookmarkStart w:id="74" w:name="_Toc335915103"/>
      <w:r>
        <w:t>For another example, to demonstrate their writing skills within the program option, candidates either in coursework activities or fieldwork activities should demonstrate that they are able to</w:t>
      </w:r>
      <w:bookmarkEnd w:id="74"/>
      <w:r>
        <w:t xml:space="preserve"> </w:t>
      </w:r>
    </w:p>
    <w:p w14:paraId="4A10EF2E" w14:textId="77777777" w:rsidR="00346904" w:rsidRPr="004F22CB" w:rsidRDefault="00346904" w:rsidP="009C1C01">
      <w:pPr>
        <w:pStyle w:val="bulletedtext"/>
        <w:ind w:left="600" w:right="0"/>
        <w:rPr>
          <w:szCs w:val="24"/>
        </w:rPr>
      </w:pPr>
      <w:bookmarkStart w:id="75" w:name="_Toc335915104"/>
      <w:r w:rsidRPr="004F22CB">
        <w:rPr>
          <w:szCs w:val="24"/>
        </w:rPr>
        <w:sym w:font="Symbol" w:char="F0A8"/>
      </w:r>
      <w:r w:rsidRPr="004F22CB">
        <w:rPr>
          <w:szCs w:val="24"/>
        </w:rPr>
        <w:tab/>
        <w:t>Demonstrate the ability to compose written texts in appropriate orthography and writing systems.</w:t>
      </w:r>
      <w:bookmarkEnd w:id="75"/>
    </w:p>
    <w:p w14:paraId="06B4A410" w14:textId="77777777" w:rsidR="00346904" w:rsidRPr="004F22CB" w:rsidRDefault="00346904" w:rsidP="009C1C01">
      <w:pPr>
        <w:pStyle w:val="bulletedtext"/>
        <w:ind w:left="600" w:right="0"/>
        <w:rPr>
          <w:szCs w:val="24"/>
        </w:rPr>
      </w:pPr>
      <w:bookmarkStart w:id="76" w:name="_Toc335915105"/>
      <w:r w:rsidRPr="004F22CB">
        <w:rPr>
          <w:szCs w:val="24"/>
        </w:rPr>
        <w:sym w:font="Symbol" w:char="F0A8"/>
      </w:r>
      <w:r w:rsidRPr="004F22CB">
        <w:rPr>
          <w:szCs w:val="24"/>
        </w:rPr>
        <w:tab/>
        <w:t>Compose personal correspondence.</w:t>
      </w:r>
      <w:bookmarkEnd w:id="76"/>
    </w:p>
    <w:p w14:paraId="5B069FF3" w14:textId="77777777" w:rsidR="00346904" w:rsidRPr="004F22CB" w:rsidRDefault="00346904" w:rsidP="009C1C01">
      <w:pPr>
        <w:pStyle w:val="bulletedtext"/>
        <w:ind w:left="600" w:right="0"/>
        <w:rPr>
          <w:szCs w:val="24"/>
        </w:rPr>
      </w:pPr>
      <w:bookmarkStart w:id="77" w:name="_Toc335915106"/>
      <w:r w:rsidRPr="004F22CB">
        <w:rPr>
          <w:szCs w:val="24"/>
        </w:rPr>
        <w:sym w:font="Symbol" w:char="F0A8"/>
      </w:r>
      <w:r w:rsidRPr="004F22CB">
        <w:rPr>
          <w:szCs w:val="24"/>
        </w:rPr>
        <w:tab/>
        <w:t>Compose formal correspondence for a variety of purposes and audiences.</w:t>
      </w:r>
      <w:bookmarkEnd w:id="77"/>
    </w:p>
    <w:p w14:paraId="28331894" w14:textId="77777777" w:rsidR="00346904" w:rsidRPr="004F22CB" w:rsidRDefault="00346904" w:rsidP="009C1C01">
      <w:pPr>
        <w:pStyle w:val="bulletedtext"/>
        <w:ind w:left="600" w:right="0"/>
        <w:rPr>
          <w:szCs w:val="24"/>
        </w:rPr>
      </w:pPr>
      <w:bookmarkStart w:id="78" w:name="_Toc335915107"/>
      <w:r w:rsidRPr="004F22CB">
        <w:rPr>
          <w:szCs w:val="24"/>
        </w:rPr>
        <w:sym w:font="Symbol" w:char="F0A8"/>
      </w:r>
      <w:r w:rsidRPr="004F22CB">
        <w:rPr>
          <w:szCs w:val="24"/>
        </w:rPr>
        <w:tab/>
        <w:t>Write cohesive summaries of a variety of extended written texts (e.g., a newspaper article, an excerpt from a textbook).</w:t>
      </w:r>
      <w:bookmarkEnd w:id="78"/>
    </w:p>
    <w:p w14:paraId="4B429D70" w14:textId="77777777" w:rsidR="00346904" w:rsidRPr="004F22CB" w:rsidRDefault="00346904" w:rsidP="009C1C01">
      <w:pPr>
        <w:pStyle w:val="bulletedtext"/>
        <w:ind w:left="600" w:right="0"/>
        <w:rPr>
          <w:szCs w:val="24"/>
        </w:rPr>
      </w:pPr>
      <w:bookmarkStart w:id="79" w:name="_Toc335915108"/>
      <w:r w:rsidRPr="004F22CB">
        <w:rPr>
          <w:szCs w:val="24"/>
        </w:rPr>
        <w:sym w:font="Symbol" w:char="F0A8"/>
      </w:r>
      <w:r w:rsidRPr="004F22CB">
        <w:rPr>
          <w:szCs w:val="24"/>
        </w:rPr>
        <w:tab/>
        <w:t>Write extended narratives and detailed descriptive accounts of events.</w:t>
      </w:r>
      <w:bookmarkEnd w:id="79"/>
    </w:p>
    <w:p w14:paraId="559EA9F4" w14:textId="77777777" w:rsidR="00346904" w:rsidRPr="004F22CB" w:rsidRDefault="00346904" w:rsidP="009C1C01">
      <w:pPr>
        <w:pStyle w:val="bulletedtext"/>
        <w:ind w:left="600" w:right="0"/>
        <w:rPr>
          <w:szCs w:val="24"/>
        </w:rPr>
      </w:pPr>
      <w:bookmarkStart w:id="80" w:name="_Toc335915109"/>
      <w:r w:rsidRPr="004F22CB">
        <w:rPr>
          <w:szCs w:val="24"/>
        </w:rPr>
        <w:sym w:font="Symbol" w:char="F0A8"/>
      </w:r>
      <w:r w:rsidRPr="004F22CB">
        <w:rPr>
          <w:szCs w:val="24"/>
        </w:rPr>
        <w:tab/>
        <w:t>Formulate and defend a hypothesis in response to a given situation.</w:t>
      </w:r>
      <w:bookmarkEnd w:id="80"/>
    </w:p>
    <w:p w14:paraId="42EACE6E" w14:textId="77777777" w:rsidR="00346904" w:rsidRPr="004F22CB" w:rsidRDefault="00346904" w:rsidP="009C1C01">
      <w:pPr>
        <w:pStyle w:val="bulletedtext"/>
        <w:ind w:left="600" w:right="0"/>
        <w:rPr>
          <w:szCs w:val="24"/>
        </w:rPr>
      </w:pPr>
      <w:bookmarkStart w:id="81" w:name="_Toc335915110"/>
      <w:r w:rsidRPr="004F22CB">
        <w:rPr>
          <w:szCs w:val="24"/>
        </w:rPr>
        <w:sym w:font="Symbol" w:char="F0A8"/>
      </w:r>
      <w:r w:rsidRPr="004F22CB">
        <w:rPr>
          <w:szCs w:val="24"/>
        </w:rPr>
        <w:tab/>
        <w:t>Describe the reasoning behind a personal or professional decision.</w:t>
      </w:r>
      <w:bookmarkEnd w:id="81"/>
    </w:p>
    <w:p w14:paraId="44FE352B" w14:textId="77777777" w:rsidR="00346904" w:rsidRPr="004F22CB" w:rsidRDefault="00346904" w:rsidP="009C1C01">
      <w:pPr>
        <w:pStyle w:val="bulletedtext"/>
        <w:ind w:left="600" w:right="0"/>
        <w:rPr>
          <w:szCs w:val="24"/>
        </w:rPr>
      </w:pPr>
      <w:bookmarkStart w:id="82" w:name="_Toc335915111"/>
      <w:r w:rsidRPr="004F22CB">
        <w:rPr>
          <w:szCs w:val="24"/>
        </w:rPr>
        <w:sym w:font="Symbol" w:char="F0A8"/>
      </w:r>
      <w:r w:rsidRPr="004F22CB">
        <w:rPr>
          <w:szCs w:val="24"/>
        </w:rPr>
        <w:tab/>
        <w:t>Discuss the advantages and disadvantages of an idea or a proposed course of action.</w:t>
      </w:r>
      <w:bookmarkEnd w:id="82"/>
    </w:p>
    <w:p w14:paraId="674A78FA" w14:textId="77777777" w:rsidR="00346904" w:rsidRPr="004F22CB" w:rsidRDefault="00346904" w:rsidP="009C1C01">
      <w:pPr>
        <w:pStyle w:val="bulletedtext"/>
        <w:ind w:left="600" w:right="0"/>
        <w:rPr>
          <w:szCs w:val="24"/>
        </w:rPr>
      </w:pPr>
      <w:bookmarkStart w:id="83" w:name="_Toc335915112"/>
      <w:r w:rsidRPr="004F22CB">
        <w:rPr>
          <w:szCs w:val="24"/>
        </w:rPr>
        <w:sym w:font="Symbol" w:char="F0A8"/>
      </w:r>
      <w:r w:rsidRPr="004F22CB">
        <w:rPr>
          <w:szCs w:val="24"/>
        </w:rPr>
        <w:tab/>
        <w:t>Take a position on an issue and support it with persuasive evidence.</w:t>
      </w:r>
      <w:bookmarkEnd w:id="83"/>
    </w:p>
    <w:p w14:paraId="2F0FFE2A" w14:textId="77777777" w:rsidR="00346904" w:rsidRPr="004F22CB" w:rsidRDefault="00346904" w:rsidP="00A72CD6">
      <w:pPr>
        <w:pStyle w:val="bulletedtext"/>
        <w:ind w:left="0" w:right="0" w:firstLine="0"/>
        <w:rPr>
          <w:szCs w:val="24"/>
        </w:rPr>
      </w:pPr>
    </w:p>
    <w:p w14:paraId="139667F4" w14:textId="77777777" w:rsidR="004E27BA" w:rsidRDefault="004E27BA" w:rsidP="004E27BA">
      <w:pPr>
        <w:jc w:val="both"/>
      </w:pPr>
      <w:r>
        <w:t xml:space="preserve">Programs responding to this standard should describe how the program will provide opportunities within coursework and/or fieldwork for candidates to demonstrate their language skills competencies. Documentation should describe the qualifications of individuals who will be assessing the level of the candidates’ language skills, and how the program will assure that candidates language proficiency level is equivalent to the Commission-adopted passing standard on the </w:t>
      </w:r>
      <w:proofErr w:type="gramStart"/>
      <w:r>
        <w:t>CSET:LOTE</w:t>
      </w:r>
      <w:proofErr w:type="gramEnd"/>
      <w:r>
        <w:t xml:space="preserve"> language examination.</w:t>
      </w:r>
    </w:p>
    <w:p w14:paraId="0C1EB530" w14:textId="77777777" w:rsidR="00EA5C38" w:rsidRDefault="00EA5C38" w:rsidP="00621576">
      <w:pPr>
        <w:rPr>
          <w:b/>
        </w:rPr>
      </w:pPr>
    </w:p>
    <w:p w14:paraId="1119B919" w14:textId="77777777" w:rsidR="00A43FC4" w:rsidRDefault="00A43FC4" w:rsidP="00621576"/>
    <w:p w14:paraId="22DEB293" w14:textId="77777777" w:rsidR="001E3416" w:rsidRPr="00A60007" w:rsidRDefault="00E46299" w:rsidP="0082302B">
      <w:pPr>
        <w:pStyle w:val="Heading3"/>
      </w:pPr>
      <w:bookmarkStart w:id="84" w:name="S3_Review_COA"/>
      <w:bookmarkStart w:id="85" w:name="_Toc337553980"/>
      <w:bookmarkStart w:id="86" w:name="_Toc135655559"/>
      <w:r w:rsidRPr="00A60007">
        <w:t xml:space="preserve">Program </w:t>
      </w:r>
      <w:r w:rsidR="001E3416" w:rsidRPr="00A60007">
        <w:t xml:space="preserve">Review </w:t>
      </w:r>
      <w:r w:rsidRPr="00A60007">
        <w:t>Process and Committee on Accreditation Approval</w:t>
      </w:r>
      <w:bookmarkEnd w:id="85"/>
      <w:bookmarkEnd w:id="86"/>
      <w:r w:rsidR="001E3416" w:rsidRPr="00A60007">
        <w:t xml:space="preserve"> </w:t>
      </w:r>
    </w:p>
    <w:bookmarkEnd w:id="84"/>
    <w:p w14:paraId="5475779C" w14:textId="77777777" w:rsidR="0081113C" w:rsidRDefault="001E3416" w:rsidP="00E46299">
      <w:pPr>
        <w:tabs>
          <w:tab w:val="left" w:pos="720"/>
          <w:tab w:val="left" w:pos="1440"/>
          <w:tab w:val="right" w:pos="8280"/>
          <w:tab w:val="right" w:pos="10800"/>
        </w:tabs>
        <w:jc w:val="both"/>
      </w:pPr>
      <w:r w:rsidRPr="00A60007">
        <w:t xml:space="preserve">Programs leading to </w:t>
      </w:r>
      <w:proofErr w:type="gramStart"/>
      <w:r w:rsidRPr="00A60007">
        <w:t>a bilingual</w:t>
      </w:r>
      <w:proofErr w:type="gramEnd"/>
      <w:r w:rsidRPr="00A60007">
        <w:t xml:space="preserve"> authorization must be approved by the Commission’s Committee on Accreditation (COA).  </w:t>
      </w:r>
      <w:proofErr w:type="gramStart"/>
      <w:r w:rsidRPr="00A60007">
        <w:t>In order to</w:t>
      </w:r>
      <w:proofErr w:type="gramEnd"/>
      <w:r w:rsidRPr="00A60007">
        <w:t xml:space="preserve"> be placed on the COA’s agenda, a prospective Bilingual Authorization program must have completed the </w:t>
      </w:r>
      <w:r w:rsidR="00191A82" w:rsidRPr="00A60007">
        <w:t>Initial Program Review</w:t>
      </w:r>
      <w:r w:rsidR="006D45EA" w:rsidRPr="00A60007">
        <w:t xml:space="preserve"> (</w:t>
      </w:r>
      <w:r w:rsidRPr="00A60007">
        <w:t>IPR</w:t>
      </w:r>
      <w:r w:rsidR="006D45EA" w:rsidRPr="00A60007">
        <w:t>)</w:t>
      </w:r>
      <w:r w:rsidRPr="00A60007">
        <w:t xml:space="preserve"> process prior to the scheduled COA meeting.  Depending upon the quality of the program proposal and the accompanying documentation, the review process can take from six to twelve months to complete.</w:t>
      </w:r>
      <w:r w:rsidR="00E46299">
        <w:t xml:space="preserve"> </w:t>
      </w:r>
      <w:r w:rsidR="0081113C">
        <w:t>To assist program sponsors in planning a timeline for approval of their documents, an example of the activities in the process and the estimated time to complete all steps is provided on the following page</w:t>
      </w:r>
      <w:r w:rsidR="00E46299">
        <w:t>.</w:t>
      </w:r>
      <w:r w:rsidR="0081113C">
        <w:t xml:space="preserve"> </w:t>
      </w:r>
    </w:p>
    <w:p w14:paraId="397A7D14" w14:textId="77777777" w:rsidR="00FD161F" w:rsidRDefault="00FD161F" w:rsidP="00E46299">
      <w:pPr>
        <w:autoSpaceDE w:val="0"/>
        <w:autoSpaceDN w:val="0"/>
        <w:adjustRightInd w:val="0"/>
        <w:jc w:val="both"/>
      </w:pPr>
    </w:p>
    <w:p w14:paraId="2B1D4734" w14:textId="77777777" w:rsidR="00E46299" w:rsidRDefault="00441739" w:rsidP="00E46299">
      <w:pPr>
        <w:autoSpaceDE w:val="0"/>
        <w:autoSpaceDN w:val="0"/>
        <w:adjustRightInd w:val="0"/>
        <w:jc w:val="both"/>
      </w:pPr>
      <w:r w:rsidRPr="00A60007">
        <w:lastRenderedPageBreak/>
        <w:t xml:space="preserve">The COA meeting dates are available on </w:t>
      </w:r>
      <w:hyperlink r:id="rId30" w:history="1">
        <w:r w:rsidRPr="004A5EB2">
          <w:rPr>
            <w:rStyle w:val="Hyperlink"/>
          </w:rPr>
          <w:t xml:space="preserve">the </w:t>
        </w:r>
        <w:r w:rsidR="004A5EB2" w:rsidRPr="004A5EB2">
          <w:rPr>
            <w:rStyle w:val="Hyperlink"/>
          </w:rPr>
          <w:t>COA webpage</w:t>
        </w:r>
      </w:hyperlink>
      <w:r w:rsidR="004A5EB2">
        <w:t xml:space="preserve">. </w:t>
      </w:r>
      <w:r w:rsidR="00E46299" w:rsidRPr="00A60007">
        <w:t xml:space="preserve">Prior to being presented to the COA for action, new programs proposed by eligible program sponsors are reviewed in relation to the program-specific </w:t>
      </w:r>
      <w:r w:rsidR="00B32F85" w:rsidRPr="00A60007">
        <w:t>p</w:t>
      </w:r>
      <w:r w:rsidR="00E46299" w:rsidRPr="00A60007">
        <w:t xml:space="preserve">reconditions, the Common Standards </w:t>
      </w:r>
      <w:proofErr w:type="gramStart"/>
      <w:r w:rsidR="00E46299" w:rsidRPr="00A60007">
        <w:t>Addendum</w:t>
      </w:r>
      <w:proofErr w:type="gramEnd"/>
      <w:r w:rsidR="00E46299" w:rsidRPr="00A60007">
        <w:t xml:space="preserve"> and the Program Standards</w:t>
      </w:r>
      <w:r w:rsidR="00E46299" w:rsidRPr="00A9422A">
        <w:t>.</w:t>
      </w:r>
      <w:r w:rsidR="00E46299">
        <w:t xml:space="preserve"> The COA considers recommendations by </w:t>
      </w:r>
      <w:r w:rsidR="00A43FC4">
        <w:t xml:space="preserve">the external reviewers and/or </w:t>
      </w:r>
      <w:r w:rsidR="00E46299">
        <w:t>the staff regarding the approval of each proposed program. After initial approval of programs, the institution/program sponsor will then participate in accreditation activities at the scheduled times for the institution including the completion of Biennial Reports, Program Assessment, and the</w:t>
      </w:r>
      <w:r w:rsidR="00A60007">
        <w:t xml:space="preserve"> </w:t>
      </w:r>
      <w:r w:rsidR="00E46299">
        <w:t>Site Visit.</w:t>
      </w:r>
    </w:p>
    <w:p w14:paraId="1D414EB0" w14:textId="77777777" w:rsidR="00E46299" w:rsidRDefault="00E46299" w:rsidP="00E46299">
      <w:pPr>
        <w:jc w:val="both"/>
        <w:rPr>
          <w:b/>
        </w:rPr>
      </w:pPr>
    </w:p>
    <w:p w14:paraId="6D7483A3" w14:textId="77777777" w:rsidR="008E043A" w:rsidRPr="00922F1D" w:rsidRDefault="008E043A" w:rsidP="00F26EF6">
      <w:pPr>
        <w:pStyle w:val="Style3"/>
      </w:pPr>
      <w:bookmarkStart w:id="87" w:name="S3_Review_COATimeline"/>
      <w:bookmarkStart w:id="88" w:name="_Toc337553981"/>
      <w:r w:rsidRPr="00922F1D">
        <w:t>Planning Timeline for Initial Program Approval</w:t>
      </w:r>
      <w:bookmarkEnd w:id="87"/>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787"/>
      </w:tblGrid>
      <w:tr w:rsidR="00FD161F" w:rsidRPr="00140FF4" w14:paraId="4881C1A3" w14:textId="77777777" w:rsidTr="00A43FC4">
        <w:trPr>
          <w:tblHeader/>
        </w:trPr>
        <w:tc>
          <w:tcPr>
            <w:tcW w:w="5400" w:type="dxa"/>
            <w:shd w:val="clear" w:color="auto" w:fill="auto"/>
          </w:tcPr>
          <w:p w14:paraId="29EAEBEB" w14:textId="77777777" w:rsidR="00FD161F" w:rsidRPr="00140FF4" w:rsidRDefault="00FD161F" w:rsidP="00140FF4">
            <w:pPr>
              <w:jc w:val="both"/>
              <w:rPr>
                <w:rFonts w:ascii="New York" w:hAnsi="New York"/>
                <w:b/>
              </w:rPr>
            </w:pPr>
            <w:r w:rsidRPr="00140FF4">
              <w:rPr>
                <w:rFonts w:ascii="New York" w:hAnsi="New York"/>
                <w:b/>
              </w:rPr>
              <w:t>Activity</w:t>
            </w:r>
          </w:p>
        </w:tc>
        <w:tc>
          <w:tcPr>
            <w:tcW w:w="4860" w:type="dxa"/>
            <w:shd w:val="clear" w:color="auto" w:fill="auto"/>
          </w:tcPr>
          <w:p w14:paraId="346958D5" w14:textId="77777777" w:rsidR="00FD161F" w:rsidRPr="00140FF4" w:rsidRDefault="00FD161F" w:rsidP="00140FF4">
            <w:pPr>
              <w:jc w:val="both"/>
              <w:rPr>
                <w:rFonts w:ascii="New York" w:hAnsi="New York"/>
                <w:b/>
              </w:rPr>
            </w:pPr>
            <w:r w:rsidRPr="00140FF4">
              <w:rPr>
                <w:rFonts w:ascii="New York" w:hAnsi="New York"/>
                <w:b/>
              </w:rPr>
              <w:t>Approximate Timeline</w:t>
            </w:r>
          </w:p>
        </w:tc>
      </w:tr>
      <w:tr w:rsidR="00FD161F" w:rsidRPr="00140FF4" w14:paraId="744829A7" w14:textId="77777777" w:rsidTr="00A43FC4">
        <w:tc>
          <w:tcPr>
            <w:tcW w:w="5400" w:type="dxa"/>
            <w:shd w:val="clear" w:color="auto" w:fill="auto"/>
          </w:tcPr>
          <w:p w14:paraId="34EE7763" w14:textId="77777777" w:rsidR="00FD161F" w:rsidRPr="00140FF4" w:rsidRDefault="00FD161F" w:rsidP="00140FF4">
            <w:pPr>
              <w:jc w:val="both"/>
              <w:rPr>
                <w:rFonts w:ascii="New York" w:hAnsi="New York"/>
              </w:rPr>
            </w:pPr>
            <w:r w:rsidRPr="00140FF4">
              <w:rPr>
                <w:rFonts w:ascii="New York" w:hAnsi="New York"/>
              </w:rPr>
              <w:t xml:space="preserve">Institution submits </w:t>
            </w:r>
            <w:hyperlink r:id="rId31" w:history="1">
              <w:r w:rsidRPr="00140FF4">
                <w:rPr>
                  <w:rStyle w:val="Hyperlink"/>
                  <w:rFonts w:ascii="New York" w:hAnsi="New York"/>
                </w:rPr>
                <w:t>Notice of Intent to Submit</w:t>
              </w:r>
            </w:hyperlink>
          </w:p>
        </w:tc>
        <w:tc>
          <w:tcPr>
            <w:tcW w:w="4860" w:type="dxa"/>
            <w:shd w:val="clear" w:color="auto" w:fill="auto"/>
          </w:tcPr>
          <w:p w14:paraId="3B66DD64" w14:textId="77777777" w:rsidR="00FD161F" w:rsidRPr="00140FF4" w:rsidRDefault="00773E87" w:rsidP="00140FF4">
            <w:pPr>
              <w:jc w:val="both"/>
              <w:rPr>
                <w:rFonts w:ascii="New York" w:hAnsi="New York"/>
              </w:rPr>
            </w:pPr>
            <w:r w:rsidRPr="00140FF4">
              <w:rPr>
                <w:rFonts w:ascii="New York" w:hAnsi="New York"/>
              </w:rPr>
              <w:t>60 days prior to Submission of Full program Proposal</w:t>
            </w:r>
          </w:p>
        </w:tc>
      </w:tr>
      <w:tr w:rsidR="00FD161F" w:rsidRPr="00140FF4" w14:paraId="76220B91" w14:textId="77777777" w:rsidTr="00A43FC4">
        <w:tc>
          <w:tcPr>
            <w:tcW w:w="5400" w:type="dxa"/>
            <w:shd w:val="clear" w:color="auto" w:fill="auto"/>
          </w:tcPr>
          <w:p w14:paraId="0F72F431" w14:textId="77777777" w:rsidR="00FD161F" w:rsidRPr="00140FF4" w:rsidRDefault="00FD161F" w:rsidP="00140FF4">
            <w:pPr>
              <w:jc w:val="both"/>
              <w:rPr>
                <w:rFonts w:ascii="New York" w:hAnsi="New York"/>
              </w:rPr>
            </w:pPr>
            <w:r w:rsidRPr="00140FF4">
              <w:rPr>
                <w:rFonts w:ascii="New York" w:hAnsi="New York"/>
              </w:rPr>
              <w:t>Institution submits documents</w:t>
            </w:r>
          </w:p>
        </w:tc>
        <w:tc>
          <w:tcPr>
            <w:tcW w:w="4860" w:type="dxa"/>
            <w:shd w:val="clear" w:color="auto" w:fill="auto"/>
          </w:tcPr>
          <w:p w14:paraId="480EAD7A" w14:textId="77777777" w:rsidR="00FD161F" w:rsidRPr="00140FF4" w:rsidRDefault="00FD161F" w:rsidP="00140FF4">
            <w:pPr>
              <w:jc w:val="both"/>
              <w:rPr>
                <w:rFonts w:ascii="New York" w:hAnsi="New York"/>
              </w:rPr>
            </w:pPr>
          </w:p>
        </w:tc>
      </w:tr>
      <w:tr w:rsidR="00FD161F" w:rsidRPr="00140FF4" w14:paraId="7225A7AD" w14:textId="77777777" w:rsidTr="00A43FC4">
        <w:tc>
          <w:tcPr>
            <w:tcW w:w="5400" w:type="dxa"/>
            <w:shd w:val="clear" w:color="auto" w:fill="auto"/>
          </w:tcPr>
          <w:p w14:paraId="1322A93F" w14:textId="77777777" w:rsidR="00FD161F" w:rsidRPr="00140FF4" w:rsidRDefault="00FD161F" w:rsidP="00A43FC4">
            <w:pPr>
              <w:jc w:val="both"/>
              <w:rPr>
                <w:rFonts w:ascii="New York" w:hAnsi="New York"/>
              </w:rPr>
            </w:pPr>
            <w:r w:rsidRPr="00140FF4">
              <w:rPr>
                <w:rFonts w:ascii="New York" w:hAnsi="New York"/>
              </w:rPr>
              <w:t>Commission staff logs documents into database for tracking</w:t>
            </w:r>
            <w:r w:rsidR="00773E87" w:rsidRPr="00140FF4">
              <w:rPr>
                <w:rFonts w:ascii="New York" w:hAnsi="New York"/>
              </w:rPr>
              <w:t xml:space="preserve"> and notifies institution of receipt. </w:t>
            </w:r>
            <w:r w:rsidR="00773E87" w:rsidRPr="00140FF4">
              <w:rPr>
                <w:rFonts w:ascii="New York" w:hAnsi="New York"/>
                <w:i/>
              </w:rPr>
              <w:t>NOTE: If the institution does not receive a</w:t>
            </w:r>
            <w:r w:rsidR="00A43FC4">
              <w:rPr>
                <w:rFonts w:ascii="New York" w:hAnsi="New York"/>
                <w:i/>
              </w:rPr>
              <w:t xml:space="preserve"> personal email</w:t>
            </w:r>
            <w:r w:rsidR="00773E87" w:rsidRPr="00140FF4">
              <w:rPr>
                <w:rFonts w:ascii="New York" w:hAnsi="New York"/>
                <w:i/>
              </w:rPr>
              <w:t xml:space="preserve"> confirm</w:t>
            </w:r>
            <w:r w:rsidR="00A43FC4">
              <w:rPr>
                <w:rFonts w:ascii="New York" w:hAnsi="New York"/>
                <w:i/>
              </w:rPr>
              <w:t xml:space="preserve">ing </w:t>
            </w:r>
            <w:r w:rsidR="00773E87" w:rsidRPr="00140FF4">
              <w:rPr>
                <w:rFonts w:ascii="New York" w:hAnsi="New York"/>
                <w:i/>
              </w:rPr>
              <w:t>receipt</w:t>
            </w:r>
            <w:r w:rsidR="00A43FC4">
              <w:rPr>
                <w:rFonts w:ascii="New York" w:hAnsi="New York"/>
                <w:i/>
              </w:rPr>
              <w:t xml:space="preserve"> of program submission,</w:t>
            </w:r>
            <w:r w:rsidR="00773E87" w:rsidRPr="00140FF4">
              <w:rPr>
                <w:rFonts w:ascii="New York" w:hAnsi="New York"/>
                <w:i/>
              </w:rPr>
              <w:t xml:space="preserve"> it is the institution’s responsibility to follow up on the status of </w:t>
            </w:r>
            <w:r w:rsidR="00A43FC4">
              <w:rPr>
                <w:rFonts w:ascii="New York" w:hAnsi="New York"/>
                <w:i/>
              </w:rPr>
              <w:t>the submission</w:t>
            </w:r>
            <w:r w:rsidR="00773E87" w:rsidRPr="00140FF4">
              <w:rPr>
                <w:rFonts w:ascii="New York" w:hAnsi="New York"/>
                <w:i/>
              </w:rPr>
              <w:t>.</w:t>
            </w:r>
          </w:p>
        </w:tc>
        <w:tc>
          <w:tcPr>
            <w:tcW w:w="4860" w:type="dxa"/>
            <w:shd w:val="clear" w:color="auto" w:fill="auto"/>
          </w:tcPr>
          <w:p w14:paraId="33C39B32" w14:textId="77777777" w:rsidR="00FD161F" w:rsidRPr="00140FF4" w:rsidRDefault="00773E87" w:rsidP="00140FF4">
            <w:pPr>
              <w:jc w:val="both"/>
              <w:rPr>
                <w:rFonts w:ascii="New York" w:hAnsi="New York"/>
              </w:rPr>
            </w:pPr>
            <w:r w:rsidRPr="00140FF4">
              <w:rPr>
                <w:rFonts w:ascii="New York" w:hAnsi="New York"/>
              </w:rPr>
              <w:t>7-10 business days</w:t>
            </w:r>
          </w:p>
        </w:tc>
      </w:tr>
      <w:tr w:rsidR="00FD161F" w:rsidRPr="00140FF4" w14:paraId="4AE6F851" w14:textId="77777777" w:rsidTr="00A43FC4">
        <w:tc>
          <w:tcPr>
            <w:tcW w:w="5400" w:type="dxa"/>
            <w:shd w:val="clear" w:color="auto" w:fill="auto"/>
          </w:tcPr>
          <w:p w14:paraId="299E81DF" w14:textId="77777777" w:rsidR="00FD161F" w:rsidRPr="00140FF4" w:rsidRDefault="00FD161F" w:rsidP="00140FF4">
            <w:pPr>
              <w:jc w:val="both"/>
              <w:rPr>
                <w:rFonts w:ascii="New York" w:hAnsi="New York"/>
              </w:rPr>
            </w:pPr>
            <w:r w:rsidRPr="00140FF4">
              <w:rPr>
                <w:rFonts w:ascii="New York" w:hAnsi="New York"/>
              </w:rPr>
              <w:t>IPR Reviewers assigned</w:t>
            </w:r>
          </w:p>
        </w:tc>
        <w:tc>
          <w:tcPr>
            <w:tcW w:w="4860" w:type="dxa"/>
            <w:shd w:val="clear" w:color="auto" w:fill="auto"/>
          </w:tcPr>
          <w:p w14:paraId="40E922C0" w14:textId="77777777" w:rsidR="00FD161F" w:rsidRPr="00140FF4" w:rsidRDefault="00773E87" w:rsidP="00140FF4">
            <w:pPr>
              <w:jc w:val="both"/>
              <w:rPr>
                <w:rFonts w:ascii="New York" w:hAnsi="New York"/>
              </w:rPr>
            </w:pPr>
            <w:r w:rsidRPr="00140FF4">
              <w:rPr>
                <w:rFonts w:ascii="New York" w:hAnsi="New York"/>
              </w:rPr>
              <w:t>Within 5 weeks of receipt</w:t>
            </w:r>
          </w:p>
        </w:tc>
      </w:tr>
      <w:tr w:rsidR="00FD161F" w:rsidRPr="00140FF4" w14:paraId="5311C01A" w14:textId="77777777" w:rsidTr="00A43FC4">
        <w:tc>
          <w:tcPr>
            <w:tcW w:w="5400" w:type="dxa"/>
            <w:shd w:val="clear" w:color="auto" w:fill="auto"/>
          </w:tcPr>
          <w:p w14:paraId="19D109BA" w14:textId="77777777" w:rsidR="00FD161F" w:rsidRPr="00140FF4" w:rsidRDefault="00FD161F" w:rsidP="00140FF4">
            <w:pPr>
              <w:jc w:val="both"/>
              <w:rPr>
                <w:rFonts w:ascii="New York" w:hAnsi="New York"/>
              </w:rPr>
            </w:pPr>
            <w:r w:rsidRPr="00140FF4">
              <w:rPr>
                <w:rFonts w:ascii="New York" w:hAnsi="New York"/>
              </w:rPr>
              <w:t>Feedback submitted to institution</w:t>
            </w:r>
          </w:p>
        </w:tc>
        <w:tc>
          <w:tcPr>
            <w:tcW w:w="4860" w:type="dxa"/>
            <w:shd w:val="clear" w:color="auto" w:fill="auto"/>
          </w:tcPr>
          <w:p w14:paraId="036EF74C" w14:textId="77777777" w:rsidR="00FD161F" w:rsidRPr="00140FF4" w:rsidRDefault="00773E87" w:rsidP="00140FF4">
            <w:pPr>
              <w:jc w:val="both"/>
              <w:rPr>
                <w:rFonts w:ascii="New York" w:hAnsi="New York"/>
              </w:rPr>
            </w:pPr>
            <w:r w:rsidRPr="00140FF4">
              <w:rPr>
                <w:rFonts w:ascii="New York" w:hAnsi="New York"/>
              </w:rPr>
              <w:t>1-3 weeks after first review</w:t>
            </w:r>
          </w:p>
        </w:tc>
      </w:tr>
      <w:tr w:rsidR="00FD161F" w:rsidRPr="00140FF4" w14:paraId="7A3E5570" w14:textId="77777777" w:rsidTr="00A43FC4">
        <w:tc>
          <w:tcPr>
            <w:tcW w:w="5400" w:type="dxa"/>
            <w:shd w:val="clear" w:color="auto" w:fill="auto"/>
          </w:tcPr>
          <w:p w14:paraId="6B0386B3" w14:textId="77777777" w:rsidR="00FD161F" w:rsidRPr="00140FF4" w:rsidRDefault="00A43FC4" w:rsidP="00A43FC4">
            <w:pPr>
              <w:jc w:val="both"/>
              <w:rPr>
                <w:rFonts w:ascii="New York" w:hAnsi="New York"/>
              </w:rPr>
            </w:pPr>
            <w:r>
              <w:rPr>
                <w:rFonts w:ascii="New York" w:hAnsi="New York"/>
              </w:rPr>
              <w:t xml:space="preserve">Review and revision </w:t>
            </w:r>
            <w:r w:rsidR="00FD161F" w:rsidRPr="00140FF4">
              <w:rPr>
                <w:rFonts w:ascii="New York" w:hAnsi="New York"/>
              </w:rPr>
              <w:t xml:space="preserve">completed at institution. Additional information and evidence </w:t>
            </w:r>
            <w:proofErr w:type="gramStart"/>
            <w:r w:rsidR="00FD161F" w:rsidRPr="00140FF4">
              <w:rPr>
                <w:rFonts w:ascii="New York" w:hAnsi="New York"/>
              </w:rPr>
              <w:t>is</w:t>
            </w:r>
            <w:proofErr w:type="gramEnd"/>
            <w:r w:rsidR="00FD161F" w:rsidRPr="00140FF4">
              <w:rPr>
                <w:rFonts w:ascii="New York" w:hAnsi="New York"/>
              </w:rPr>
              <w:t xml:space="preserve"> submitted to the Commission</w:t>
            </w:r>
          </w:p>
        </w:tc>
        <w:tc>
          <w:tcPr>
            <w:tcW w:w="4860" w:type="dxa"/>
            <w:shd w:val="clear" w:color="auto" w:fill="auto"/>
          </w:tcPr>
          <w:p w14:paraId="01537864" w14:textId="77777777" w:rsidR="00FD161F" w:rsidRPr="00140FF4" w:rsidRDefault="00773E87" w:rsidP="00140FF4">
            <w:pPr>
              <w:jc w:val="both"/>
              <w:rPr>
                <w:rFonts w:ascii="New York" w:hAnsi="New York"/>
              </w:rPr>
            </w:pPr>
            <w:r w:rsidRPr="00140FF4">
              <w:rPr>
                <w:rFonts w:ascii="New York" w:hAnsi="New York"/>
              </w:rPr>
              <w:t xml:space="preserve">TBD and institution </w:t>
            </w:r>
          </w:p>
        </w:tc>
      </w:tr>
      <w:tr w:rsidR="00FD161F" w:rsidRPr="00140FF4" w14:paraId="1243439D" w14:textId="77777777" w:rsidTr="00A43FC4">
        <w:tc>
          <w:tcPr>
            <w:tcW w:w="5400" w:type="dxa"/>
            <w:shd w:val="clear" w:color="auto" w:fill="auto"/>
          </w:tcPr>
          <w:p w14:paraId="4460A3F9" w14:textId="77777777" w:rsidR="00FD161F" w:rsidRPr="00140FF4" w:rsidRDefault="00FD161F" w:rsidP="00140FF4">
            <w:pPr>
              <w:jc w:val="both"/>
              <w:rPr>
                <w:rFonts w:ascii="New York" w:hAnsi="New York"/>
              </w:rPr>
            </w:pPr>
            <w:r w:rsidRPr="00140FF4">
              <w:rPr>
                <w:rFonts w:ascii="New York" w:hAnsi="New York"/>
              </w:rPr>
              <w:t>Second review by IPR Reviewers</w:t>
            </w:r>
          </w:p>
        </w:tc>
        <w:tc>
          <w:tcPr>
            <w:tcW w:w="4860" w:type="dxa"/>
            <w:shd w:val="clear" w:color="auto" w:fill="auto"/>
          </w:tcPr>
          <w:p w14:paraId="4A7F5741" w14:textId="77777777" w:rsidR="00FD161F" w:rsidRPr="00140FF4" w:rsidRDefault="00773E87" w:rsidP="00140FF4">
            <w:pPr>
              <w:jc w:val="both"/>
              <w:rPr>
                <w:rFonts w:ascii="New York" w:hAnsi="New York"/>
              </w:rPr>
            </w:pPr>
            <w:r w:rsidRPr="00140FF4">
              <w:rPr>
                <w:rFonts w:ascii="New York" w:hAnsi="New York"/>
              </w:rPr>
              <w:t>Within 6 weeks of receipt</w:t>
            </w:r>
          </w:p>
        </w:tc>
      </w:tr>
      <w:tr w:rsidR="00FD161F" w:rsidRPr="00140FF4" w14:paraId="29C7964D" w14:textId="77777777" w:rsidTr="00A43FC4">
        <w:tc>
          <w:tcPr>
            <w:tcW w:w="5400" w:type="dxa"/>
            <w:shd w:val="clear" w:color="auto" w:fill="auto"/>
          </w:tcPr>
          <w:p w14:paraId="3985A033" w14:textId="77777777" w:rsidR="00FD161F" w:rsidRPr="00140FF4" w:rsidRDefault="00773E87" w:rsidP="00140FF4">
            <w:pPr>
              <w:jc w:val="both"/>
              <w:rPr>
                <w:rFonts w:ascii="New York" w:hAnsi="New York"/>
              </w:rPr>
            </w:pPr>
            <w:r w:rsidRPr="00140FF4">
              <w:rPr>
                <w:rFonts w:ascii="New York" w:hAnsi="New York"/>
              </w:rPr>
              <w:t>F</w:t>
            </w:r>
            <w:r w:rsidR="00FD161F" w:rsidRPr="00140FF4">
              <w:rPr>
                <w:rFonts w:ascii="New York" w:hAnsi="New York"/>
              </w:rPr>
              <w:t>eedback, review by institution, re</w:t>
            </w:r>
            <w:r w:rsidR="00A43FC4">
              <w:rPr>
                <w:rFonts w:ascii="New York" w:hAnsi="New York"/>
              </w:rPr>
              <w:t>-submission and review by panel continue</w:t>
            </w:r>
            <w:r w:rsidR="00FD161F" w:rsidRPr="00140FF4">
              <w:rPr>
                <w:rFonts w:ascii="New York" w:hAnsi="New York"/>
              </w:rPr>
              <w:t xml:space="preserve"> until all adopted program standards are met</w:t>
            </w:r>
            <w:r w:rsidRPr="00140FF4">
              <w:rPr>
                <w:rFonts w:ascii="New York" w:hAnsi="New York"/>
              </w:rPr>
              <w:t>.</w:t>
            </w:r>
          </w:p>
        </w:tc>
        <w:tc>
          <w:tcPr>
            <w:tcW w:w="4860" w:type="dxa"/>
            <w:shd w:val="clear" w:color="auto" w:fill="auto"/>
          </w:tcPr>
          <w:p w14:paraId="565F86EA" w14:textId="77777777" w:rsidR="00FD161F" w:rsidRPr="00140FF4" w:rsidRDefault="00773E87" w:rsidP="00140FF4">
            <w:pPr>
              <w:jc w:val="both"/>
              <w:rPr>
                <w:rFonts w:ascii="New York" w:hAnsi="New York"/>
              </w:rPr>
            </w:pPr>
            <w:r w:rsidRPr="00140FF4">
              <w:rPr>
                <w:rFonts w:ascii="New York" w:hAnsi="New York"/>
              </w:rPr>
              <w:t>TBD at institution</w:t>
            </w:r>
          </w:p>
        </w:tc>
      </w:tr>
      <w:tr w:rsidR="00FD161F" w:rsidRPr="00140FF4" w14:paraId="4D3518F2" w14:textId="77777777" w:rsidTr="00A43FC4">
        <w:tc>
          <w:tcPr>
            <w:tcW w:w="5400" w:type="dxa"/>
            <w:shd w:val="clear" w:color="auto" w:fill="auto"/>
          </w:tcPr>
          <w:p w14:paraId="68DDD2E6" w14:textId="77777777" w:rsidR="00FD161F" w:rsidRPr="00140FF4" w:rsidRDefault="00505FF7" w:rsidP="00505FF7">
            <w:pPr>
              <w:jc w:val="both"/>
              <w:rPr>
                <w:rFonts w:ascii="New York" w:hAnsi="New York"/>
              </w:rPr>
            </w:pPr>
            <w:r w:rsidRPr="00140FF4">
              <w:rPr>
                <w:rFonts w:ascii="New York" w:hAnsi="New York"/>
              </w:rPr>
              <w:t>Institution must provide the Commission an electronic submission of the final approved program narrative response to the program standards</w:t>
            </w:r>
            <w:r>
              <w:rPr>
                <w:rFonts w:ascii="New York" w:hAnsi="New York"/>
              </w:rPr>
              <w:t>, and a brief paragraph describing the program.</w:t>
            </w:r>
          </w:p>
        </w:tc>
        <w:tc>
          <w:tcPr>
            <w:tcW w:w="4860" w:type="dxa"/>
            <w:shd w:val="clear" w:color="auto" w:fill="auto"/>
          </w:tcPr>
          <w:p w14:paraId="20F0B3F9" w14:textId="77777777" w:rsidR="00FD161F" w:rsidRPr="00140FF4" w:rsidRDefault="00505FF7" w:rsidP="00505FF7">
            <w:pPr>
              <w:jc w:val="both"/>
              <w:rPr>
                <w:rFonts w:ascii="New York" w:hAnsi="New York"/>
              </w:rPr>
            </w:pPr>
            <w:r w:rsidRPr="00140FF4">
              <w:rPr>
                <w:rFonts w:ascii="New York" w:hAnsi="New York"/>
              </w:rPr>
              <w:t xml:space="preserve">To ensure the accuracy of accreditation documents at the Commission the final program narrative is to be submitted prior to the COA meeting </w:t>
            </w:r>
          </w:p>
        </w:tc>
      </w:tr>
      <w:tr w:rsidR="00FD161F" w:rsidRPr="00140FF4" w14:paraId="687CC02F" w14:textId="77777777" w:rsidTr="00A43FC4">
        <w:tc>
          <w:tcPr>
            <w:tcW w:w="5400" w:type="dxa"/>
            <w:shd w:val="clear" w:color="auto" w:fill="auto"/>
          </w:tcPr>
          <w:p w14:paraId="090ACC51" w14:textId="77777777" w:rsidR="00FD161F" w:rsidRPr="00140FF4" w:rsidRDefault="00505FF7" w:rsidP="00A43FC4">
            <w:pPr>
              <w:jc w:val="both"/>
              <w:rPr>
                <w:rFonts w:ascii="New York" w:hAnsi="New York"/>
              </w:rPr>
            </w:pPr>
            <w:r>
              <w:rPr>
                <w:rFonts w:ascii="New York" w:hAnsi="New York"/>
              </w:rPr>
              <w:t xml:space="preserve">Once standards are met and the descriptive paragraph is received, </w:t>
            </w:r>
            <w:r w:rsidR="00A43FC4">
              <w:rPr>
                <w:rFonts w:ascii="New York" w:hAnsi="New York"/>
              </w:rPr>
              <w:t xml:space="preserve">program </w:t>
            </w:r>
            <w:r>
              <w:rPr>
                <w:rFonts w:ascii="New York" w:hAnsi="New York"/>
              </w:rPr>
              <w:t>a</w:t>
            </w:r>
            <w:r w:rsidRPr="00140FF4">
              <w:rPr>
                <w:rFonts w:ascii="New York" w:hAnsi="New York"/>
              </w:rPr>
              <w:t xml:space="preserve">pproval </w:t>
            </w:r>
            <w:r>
              <w:rPr>
                <w:rFonts w:ascii="New York" w:hAnsi="New York"/>
              </w:rPr>
              <w:t>is</w:t>
            </w:r>
            <w:r w:rsidRPr="00140FF4">
              <w:rPr>
                <w:rFonts w:ascii="New York" w:hAnsi="New York"/>
              </w:rPr>
              <w:t xml:space="preserve"> placed on agenda for the next meeting of the COA. </w:t>
            </w:r>
            <w:r w:rsidRPr="00140FF4">
              <w:rPr>
                <w:rFonts w:ascii="New York" w:hAnsi="New York"/>
                <w:i/>
              </w:rPr>
              <w:t xml:space="preserve">NOTE: The COA meets six times each calendar year. </w:t>
            </w:r>
            <w:proofErr w:type="gramStart"/>
            <w:r w:rsidRPr="00140FF4">
              <w:rPr>
                <w:rFonts w:ascii="New York" w:hAnsi="New York"/>
                <w:i/>
              </w:rPr>
              <w:t>In order to</w:t>
            </w:r>
            <w:proofErr w:type="gramEnd"/>
            <w:r w:rsidRPr="00140FF4">
              <w:rPr>
                <w:rFonts w:ascii="New York" w:hAnsi="New York"/>
                <w:i/>
              </w:rPr>
              <w:t xml:space="preserve"> facilitate planning, refer to the </w:t>
            </w:r>
            <w:hyperlink r:id="rId32" w:history="1">
              <w:r w:rsidRPr="00140FF4">
                <w:rPr>
                  <w:rStyle w:val="Hyperlink"/>
                  <w:rFonts w:ascii="New York" w:hAnsi="New York"/>
                  <w:i/>
                </w:rPr>
                <w:t>COA meeting dates</w:t>
              </w:r>
            </w:hyperlink>
            <w:r w:rsidRPr="00140FF4">
              <w:rPr>
                <w:rFonts w:ascii="New York" w:hAnsi="New York"/>
                <w:i/>
              </w:rPr>
              <w:t>.</w:t>
            </w:r>
          </w:p>
        </w:tc>
        <w:tc>
          <w:tcPr>
            <w:tcW w:w="4860" w:type="dxa"/>
            <w:shd w:val="clear" w:color="auto" w:fill="auto"/>
          </w:tcPr>
          <w:p w14:paraId="7E4CEF14" w14:textId="77777777" w:rsidR="00FD161F" w:rsidRPr="00140FF4" w:rsidRDefault="00505FF7" w:rsidP="00140FF4">
            <w:pPr>
              <w:jc w:val="both"/>
              <w:rPr>
                <w:rFonts w:ascii="New York" w:hAnsi="New York"/>
              </w:rPr>
            </w:pPr>
            <w:r w:rsidRPr="00140FF4">
              <w:rPr>
                <w:rFonts w:ascii="New York" w:hAnsi="New York"/>
              </w:rPr>
              <w:t>Based upon the timing of the COA meetings</w:t>
            </w:r>
          </w:p>
        </w:tc>
      </w:tr>
      <w:tr w:rsidR="00FD161F" w:rsidRPr="00140FF4" w14:paraId="477D105C" w14:textId="77777777" w:rsidTr="00A43FC4">
        <w:tc>
          <w:tcPr>
            <w:tcW w:w="5400" w:type="dxa"/>
            <w:shd w:val="clear" w:color="auto" w:fill="auto"/>
          </w:tcPr>
          <w:p w14:paraId="14E5B6E6" w14:textId="77777777" w:rsidR="00FD161F" w:rsidRPr="00140FF4" w:rsidRDefault="00773E87" w:rsidP="00A43FC4">
            <w:pPr>
              <w:jc w:val="both"/>
              <w:rPr>
                <w:rFonts w:ascii="New York" w:hAnsi="New York"/>
              </w:rPr>
            </w:pPr>
            <w:r w:rsidRPr="00140FF4">
              <w:rPr>
                <w:rFonts w:ascii="New York" w:hAnsi="New York"/>
              </w:rPr>
              <w:t>Programs notified of approval may begin program implementation.  Formal letters will be sent 3-7 business days after COA approval.</w:t>
            </w:r>
          </w:p>
        </w:tc>
        <w:tc>
          <w:tcPr>
            <w:tcW w:w="4860" w:type="dxa"/>
            <w:shd w:val="clear" w:color="auto" w:fill="auto"/>
          </w:tcPr>
          <w:p w14:paraId="4BA657A4" w14:textId="77777777" w:rsidR="00FD161F" w:rsidRPr="00140FF4" w:rsidRDefault="00773E87" w:rsidP="00140FF4">
            <w:pPr>
              <w:jc w:val="both"/>
              <w:rPr>
                <w:rFonts w:ascii="New York" w:hAnsi="New York"/>
              </w:rPr>
            </w:pPr>
            <w:r w:rsidRPr="00140FF4">
              <w:rPr>
                <w:rFonts w:ascii="New York" w:hAnsi="New York"/>
              </w:rPr>
              <w:t>Those interested can listen to the COA meeting live on the internet to see the program approved</w:t>
            </w:r>
          </w:p>
        </w:tc>
      </w:tr>
      <w:tr w:rsidR="00773E87" w:rsidRPr="00140FF4" w14:paraId="4E34004C" w14:textId="77777777" w:rsidTr="00505FF7">
        <w:tc>
          <w:tcPr>
            <w:tcW w:w="10260" w:type="dxa"/>
            <w:gridSpan w:val="2"/>
            <w:shd w:val="clear" w:color="auto" w:fill="auto"/>
          </w:tcPr>
          <w:p w14:paraId="23E974D6" w14:textId="77777777" w:rsidR="00773E87" w:rsidRPr="00140FF4" w:rsidRDefault="00773E87" w:rsidP="00140FF4">
            <w:pPr>
              <w:jc w:val="both"/>
              <w:rPr>
                <w:rFonts w:ascii="New York" w:hAnsi="New York"/>
              </w:rPr>
            </w:pPr>
            <w:r w:rsidRPr="00140FF4">
              <w:rPr>
                <w:rFonts w:ascii="New York" w:hAnsi="New York"/>
              </w:rPr>
              <w:t>*The entire process can take from 1-12 months or longer.</w:t>
            </w:r>
          </w:p>
        </w:tc>
      </w:tr>
    </w:tbl>
    <w:p w14:paraId="3BFC332F" w14:textId="77777777" w:rsidR="00A60007" w:rsidRPr="0017071C" w:rsidRDefault="00A60007" w:rsidP="00E46299">
      <w:pPr>
        <w:jc w:val="both"/>
        <w:rPr>
          <w:b/>
        </w:rPr>
      </w:pPr>
    </w:p>
    <w:p w14:paraId="5544682A" w14:textId="77777777" w:rsidR="00D12F93" w:rsidRDefault="00F07917" w:rsidP="00CC147C">
      <w:pPr>
        <w:jc w:val="both"/>
        <w:rPr>
          <w:b/>
          <w:i/>
          <w:sz w:val="20"/>
          <w:szCs w:val="20"/>
        </w:rPr>
      </w:pPr>
      <w:r>
        <w:rPr>
          <w:b/>
        </w:rPr>
        <w:t>*</w:t>
      </w:r>
      <w:r>
        <w:rPr>
          <w:b/>
          <w:i/>
          <w:sz w:val="20"/>
          <w:szCs w:val="20"/>
        </w:rPr>
        <w:t>The timeframe</w:t>
      </w:r>
      <w:r w:rsidR="00A9422A">
        <w:rPr>
          <w:b/>
          <w:i/>
          <w:sz w:val="20"/>
          <w:szCs w:val="20"/>
        </w:rPr>
        <w:t>s presented are approximate</w:t>
      </w:r>
      <w:r>
        <w:rPr>
          <w:b/>
          <w:i/>
          <w:sz w:val="20"/>
          <w:szCs w:val="20"/>
        </w:rPr>
        <w:t>. Actual timeframes can depend on a variety of factors, including quality of the documents, submission of appropriate substantiating evidence, availability of reviewers, and Commission budget.</w:t>
      </w:r>
    </w:p>
    <w:p w14:paraId="3C5D0826" w14:textId="77777777" w:rsidR="00CC147C" w:rsidRDefault="00CC147C" w:rsidP="00CC147C">
      <w:pPr>
        <w:jc w:val="both"/>
        <w:rPr>
          <w:b/>
        </w:rPr>
      </w:pPr>
    </w:p>
    <w:p w14:paraId="580E5B11" w14:textId="77777777" w:rsidR="00D12F93" w:rsidRPr="00D12F93" w:rsidRDefault="00D12F93" w:rsidP="00D12F93">
      <w:pPr>
        <w:tabs>
          <w:tab w:val="left" w:pos="1340"/>
        </w:tabs>
      </w:pPr>
      <w:r>
        <w:lastRenderedPageBreak/>
        <w:t>For updated information on the Initial Review Process, reading dates, timeline</w:t>
      </w:r>
      <w:r w:rsidR="003A1541">
        <w:t>s</w:t>
      </w:r>
      <w:r>
        <w:t xml:space="preserve"> for </w:t>
      </w:r>
      <w:r w:rsidR="003A1541">
        <w:t xml:space="preserve">notifying the Commission of the </w:t>
      </w:r>
      <w:r>
        <w:t xml:space="preserve">intent to submit </w:t>
      </w:r>
      <w:r w:rsidR="003A1541">
        <w:t xml:space="preserve">a new proposal, </w:t>
      </w:r>
      <w:r>
        <w:t xml:space="preserve">and </w:t>
      </w:r>
      <w:r w:rsidR="003A1541">
        <w:t xml:space="preserve">requirements for </w:t>
      </w:r>
      <w:r>
        <w:t>receipt of programs at the commission</w:t>
      </w:r>
      <w:r w:rsidR="003A1541">
        <w:t xml:space="preserve"> in advance of reading dates</w:t>
      </w:r>
      <w:r>
        <w:t xml:space="preserve">, refer to the </w:t>
      </w:r>
      <w:hyperlink r:id="rId33" w:history="1">
        <w:r w:rsidR="004A5EB2" w:rsidRPr="004A5EB2">
          <w:rPr>
            <w:rStyle w:val="Hyperlink"/>
          </w:rPr>
          <w:t>IPR</w:t>
        </w:r>
        <w:r w:rsidRPr="004A5EB2">
          <w:rPr>
            <w:rStyle w:val="Hyperlink"/>
          </w:rPr>
          <w:t xml:space="preserve"> web site</w:t>
        </w:r>
      </w:hyperlink>
      <w:r w:rsidR="004A5EB2">
        <w:t xml:space="preserve">. </w:t>
      </w:r>
    </w:p>
    <w:p w14:paraId="39C87D08" w14:textId="77777777" w:rsidR="00D12F93" w:rsidRPr="00D12F93" w:rsidRDefault="00D12F93" w:rsidP="00D12F93"/>
    <w:p w14:paraId="5B717E49" w14:textId="77777777" w:rsidR="003A1541" w:rsidRDefault="004A5EB2" w:rsidP="00D12F93">
      <w:hyperlink r:id="rId34" w:history="1">
        <w:r w:rsidR="006442AB" w:rsidRPr="004A5EB2">
          <w:rPr>
            <w:rStyle w:val="Hyperlink"/>
          </w:rPr>
          <w:t>Intent to Submit a n</w:t>
        </w:r>
        <w:r w:rsidR="00F457F9" w:rsidRPr="004A5EB2">
          <w:rPr>
            <w:rStyle w:val="Hyperlink"/>
          </w:rPr>
          <w:t>ew</w:t>
        </w:r>
        <w:r w:rsidR="003A1541" w:rsidRPr="004A5EB2">
          <w:rPr>
            <w:rStyle w:val="Hyperlink"/>
          </w:rPr>
          <w:t xml:space="preserve"> Educator Preparation Program</w:t>
        </w:r>
      </w:hyperlink>
      <w:r w:rsidR="00821D01">
        <w:t xml:space="preserve"> </w:t>
      </w:r>
      <w:r>
        <w:t xml:space="preserve">- </w:t>
      </w:r>
      <w:r w:rsidR="00821D01">
        <w:t>notify 60 days prior to reading date</w:t>
      </w:r>
      <w:r w:rsidR="00505FF7">
        <w:t>.</w:t>
      </w:r>
    </w:p>
    <w:p w14:paraId="2C06A351" w14:textId="77777777" w:rsidR="004A5EB2" w:rsidRDefault="004A5EB2" w:rsidP="00D12F93">
      <w:pPr>
        <w:rPr>
          <w:b/>
          <w:i/>
        </w:rPr>
      </w:pPr>
    </w:p>
    <w:p w14:paraId="15B42A61" w14:textId="77777777" w:rsidR="00857167" w:rsidRDefault="00857167" w:rsidP="00F26EF6">
      <w:pPr>
        <w:pStyle w:val="Style3"/>
      </w:pPr>
      <w:bookmarkStart w:id="89" w:name="S3_Review_COAReviewProcess"/>
      <w:bookmarkStart w:id="90" w:name="_Toc337553982"/>
      <w:r w:rsidRPr="00242AD0">
        <w:t>The Review Process</w:t>
      </w:r>
      <w:bookmarkEnd w:id="90"/>
    </w:p>
    <w:bookmarkEnd w:id="89"/>
    <w:p w14:paraId="3BCA7772" w14:textId="77777777" w:rsidR="00A60007" w:rsidRDefault="00A60007" w:rsidP="00A60007">
      <w:pPr>
        <w:jc w:val="both"/>
      </w:pPr>
      <w:r w:rsidRPr="00DB3ECD">
        <w:t>The Commission is committed to conducting a program review process that is objective</w:t>
      </w:r>
      <w:r>
        <w:t xml:space="preserve"> </w:t>
      </w:r>
      <w:r w:rsidRPr="00DB3ECD">
        <w:t>and comprehensive. The agency also seeks to be as helpful as possible to colleges</w:t>
      </w:r>
      <w:r>
        <w:t xml:space="preserve"> </w:t>
      </w:r>
      <w:r w:rsidRPr="00DB3ECD">
        <w:t xml:space="preserve">and universities throughout the review process. </w:t>
      </w:r>
    </w:p>
    <w:p w14:paraId="615530B2" w14:textId="77777777" w:rsidR="00A60007" w:rsidRPr="00DB3ECD" w:rsidRDefault="00A60007" w:rsidP="00A60007">
      <w:pPr>
        <w:jc w:val="both"/>
      </w:pPr>
    </w:p>
    <w:p w14:paraId="1C3A062A" w14:textId="77777777" w:rsidR="00A60007" w:rsidRDefault="00A60007" w:rsidP="00A60007">
      <w:pPr>
        <w:jc w:val="both"/>
      </w:pPr>
      <w:r w:rsidRPr="00DB3ECD">
        <w:t>Representatives of an institution can consult directly with the Commission's professional staff</w:t>
      </w:r>
      <w:r>
        <w:t xml:space="preserve"> </w:t>
      </w:r>
      <w:r w:rsidRPr="00DB3ECD">
        <w:t>regarding programs that are in preparation or under review. The staff will respond to all</w:t>
      </w:r>
      <w:r>
        <w:t xml:space="preserve"> </w:t>
      </w:r>
      <w:r w:rsidRPr="00DB3ECD">
        <w:t>inquiries expeditiously and knowledgeably, acting as liaison between the review teams and the</w:t>
      </w:r>
      <w:r>
        <w:t xml:space="preserve"> </w:t>
      </w:r>
      <w:r w:rsidRPr="00DB3ECD">
        <w:t>program sponsors. Representatives of colleges and universities are restricted from direct</w:t>
      </w:r>
      <w:r>
        <w:t xml:space="preserve"> </w:t>
      </w:r>
      <w:r w:rsidRPr="00DB3ECD">
        <w:t>association with the review teams for their programs.</w:t>
      </w:r>
    </w:p>
    <w:p w14:paraId="790B4981" w14:textId="77777777" w:rsidR="00A60007" w:rsidRDefault="00A60007" w:rsidP="00A60007">
      <w:pPr>
        <w:jc w:val="both"/>
      </w:pPr>
    </w:p>
    <w:p w14:paraId="410FC84F" w14:textId="77777777" w:rsidR="00A60007" w:rsidRDefault="00A60007" w:rsidP="00A60007">
      <w:pPr>
        <w:jc w:val="both"/>
      </w:pPr>
      <w:r w:rsidRPr="00DB3ECD">
        <w:t>If the review team determi</w:t>
      </w:r>
      <w:smartTag w:uri="urn:schemas-microsoft-com:office:smarttags" w:element="PersonName">
        <w:r w:rsidRPr="00DB3ECD">
          <w:t>ne</w:t>
        </w:r>
      </w:smartTag>
      <w:r w:rsidRPr="00DB3ECD">
        <w:t>s that minor or technical changes should be made in a program, the</w:t>
      </w:r>
      <w:r>
        <w:t xml:space="preserve"> </w:t>
      </w:r>
      <w:r w:rsidRPr="00DB3ECD">
        <w:t>responsibility for reviewing the resubmitted document rests with the Commission’s professional</w:t>
      </w:r>
      <w:r>
        <w:t xml:space="preserve"> </w:t>
      </w:r>
      <w:r w:rsidRPr="00DB3ECD">
        <w:t>staff</w:t>
      </w:r>
      <w:r>
        <w:t xml:space="preserve">. Upon submission of an updated and complete standards response and subsequent review determines that the program address all standards sufficiently, </w:t>
      </w:r>
      <w:r w:rsidRPr="00DB3ECD">
        <w:t xml:space="preserve">the revised program </w:t>
      </w:r>
      <w:r>
        <w:t xml:space="preserve">is then presented </w:t>
      </w:r>
      <w:r w:rsidRPr="00DB3ECD">
        <w:t xml:space="preserve">to the </w:t>
      </w:r>
      <w:r>
        <w:t>Committee on Accreditation</w:t>
      </w:r>
      <w:r w:rsidRPr="00DB3ECD">
        <w:t xml:space="preserve"> for approval without further </w:t>
      </w:r>
      <w:r>
        <w:t>r</w:t>
      </w:r>
      <w:r w:rsidRPr="00DB3ECD">
        <w:t>eview by the pa</w:t>
      </w:r>
      <w:smartTag w:uri="urn:schemas-microsoft-com:office:smarttags" w:element="PersonName">
        <w:r w:rsidRPr="00DB3ECD">
          <w:t>ne</w:t>
        </w:r>
      </w:smartTag>
      <w:r w:rsidRPr="00DB3ECD">
        <w:t>l.</w:t>
      </w:r>
    </w:p>
    <w:p w14:paraId="15844EA7" w14:textId="77777777" w:rsidR="00D12F93" w:rsidRPr="00D12F93" w:rsidRDefault="00D12F93" w:rsidP="00D12F93"/>
    <w:p w14:paraId="0FCA08E1" w14:textId="77777777" w:rsidR="003B6A41" w:rsidRPr="00922F1D" w:rsidRDefault="003B6A41" w:rsidP="00F35BF6">
      <w:pPr>
        <w:jc w:val="both"/>
        <w:rPr>
          <w:u w:val="single"/>
        </w:rPr>
      </w:pPr>
      <w:r w:rsidRPr="00922F1D">
        <w:rPr>
          <w:u w:val="single"/>
        </w:rPr>
        <w:t>Review of Preconditions</w:t>
      </w:r>
    </w:p>
    <w:p w14:paraId="54C359A8" w14:textId="77777777" w:rsidR="003B6A41" w:rsidRPr="00DB3ECD" w:rsidRDefault="003B6A41" w:rsidP="00F35BF6">
      <w:pPr>
        <w:jc w:val="both"/>
      </w:pPr>
      <w:r w:rsidRPr="00DB3ECD">
        <w:t>An institution’s response to the preconditions is reviewed by the</w:t>
      </w:r>
      <w:r>
        <w:t xml:space="preserve"> </w:t>
      </w:r>
      <w:r w:rsidRPr="00DB3ECD">
        <w:t>Commission’s professional staff because the preconditions are based on Commission policies</w:t>
      </w:r>
      <w:r>
        <w:t xml:space="preserve"> </w:t>
      </w:r>
      <w:r w:rsidRPr="00DB3ECD">
        <w:t>and do not involve issues of program quality. Preconditions are reviewed upon the institution's</w:t>
      </w:r>
      <w:r>
        <w:t xml:space="preserve"> </w:t>
      </w:r>
      <w:r w:rsidRPr="00DB3ECD">
        <w:t>formal submission of a document.</w:t>
      </w:r>
    </w:p>
    <w:p w14:paraId="65536B87" w14:textId="77777777" w:rsidR="003B6A41" w:rsidRPr="00EB645D" w:rsidRDefault="003B6A41" w:rsidP="003B6A41">
      <w:pPr>
        <w:autoSpaceDE w:val="0"/>
        <w:autoSpaceDN w:val="0"/>
        <w:adjustRightInd w:val="0"/>
        <w:jc w:val="both"/>
      </w:pPr>
    </w:p>
    <w:p w14:paraId="4C5110A7" w14:textId="77777777" w:rsidR="003B6A41" w:rsidRPr="00922F1D" w:rsidRDefault="003B6A41" w:rsidP="003B6A41">
      <w:pPr>
        <w:autoSpaceDE w:val="0"/>
        <w:autoSpaceDN w:val="0"/>
        <w:adjustRightInd w:val="0"/>
        <w:jc w:val="both"/>
        <w:rPr>
          <w:bCs/>
          <w:u w:val="single"/>
        </w:rPr>
      </w:pPr>
      <w:r w:rsidRPr="00922F1D">
        <w:rPr>
          <w:bCs/>
          <w:u w:val="single"/>
        </w:rPr>
        <w:t>Selection, Composition and Training of Program Review Pa</w:t>
      </w:r>
      <w:smartTag w:uri="urn:schemas-microsoft-com:office:smarttags" w:element="PersonName">
        <w:r w:rsidRPr="00922F1D">
          <w:rPr>
            <w:bCs/>
            <w:u w:val="single"/>
          </w:rPr>
          <w:t>ne</w:t>
        </w:r>
      </w:smartTag>
      <w:r w:rsidRPr="00922F1D">
        <w:rPr>
          <w:bCs/>
          <w:u w:val="single"/>
        </w:rPr>
        <w:t>ls</w:t>
      </w:r>
    </w:p>
    <w:p w14:paraId="5CF8C51C" w14:textId="77777777" w:rsidR="003B6A41" w:rsidRPr="00CF4D38" w:rsidRDefault="003B6A41" w:rsidP="003B6A41">
      <w:pPr>
        <w:autoSpaceDE w:val="0"/>
        <w:autoSpaceDN w:val="0"/>
        <w:adjustRightInd w:val="0"/>
        <w:jc w:val="both"/>
        <w:rPr>
          <w:color w:val="0000FF"/>
        </w:rPr>
      </w:pPr>
      <w:r w:rsidRPr="002E3325">
        <w:t>Review pa</w:t>
      </w:r>
      <w:smartTag w:uri="urn:schemas-microsoft-com:office:smarttags" w:element="PersonName">
        <w:r w:rsidRPr="002E3325">
          <w:t>ne</w:t>
        </w:r>
      </w:smartTag>
      <w:r w:rsidRPr="002E3325">
        <w:t xml:space="preserve">l members are selected because of their expertise </w:t>
      </w:r>
      <w:proofErr w:type="gramStart"/>
      <w:r w:rsidRPr="002E3325">
        <w:t>in the area of</w:t>
      </w:r>
      <w:proofErr w:type="gramEnd"/>
      <w:r w:rsidRPr="002E3325">
        <w:t xml:space="preserve"> bilingual education. </w:t>
      </w:r>
      <w:r w:rsidR="00CF4D38" w:rsidRPr="002E3325">
        <w:t xml:space="preserve">Every program must be reviewed by at least two experts. </w:t>
      </w:r>
      <w:r w:rsidRPr="002E3325">
        <w:t xml:space="preserve">Reviewers are selected from institutions of higher education, school districts, </w:t>
      </w:r>
      <w:r w:rsidR="005577AD" w:rsidRPr="002E3325">
        <w:t>and county</w:t>
      </w:r>
      <w:r w:rsidRPr="002E3325">
        <w:t xml:space="preserve"> offices of education, professional organizations of English lear</w:t>
      </w:r>
      <w:smartTag w:uri="urn:schemas-microsoft-com:office:smarttags" w:element="PersonName">
        <w:r w:rsidRPr="002E3325">
          <w:t>ne</w:t>
        </w:r>
      </w:smartTag>
      <w:r w:rsidRPr="002E3325">
        <w:t>r and bilingual educators, and statewide education organizations</w:t>
      </w:r>
      <w:r w:rsidR="00CF4D38" w:rsidRPr="002E3325">
        <w:t xml:space="preserve"> as well as the Board of Institutional Reviewers</w:t>
      </w:r>
      <w:r w:rsidR="005577AD" w:rsidRPr="002E3325">
        <w:t xml:space="preserve"> (BIR)</w:t>
      </w:r>
      <w:r w:rsidR="00CF4D38" w:rsidRPr="002E3325">
        <w:t>.</w:t>
      </w:r>
      <w:r w:rsidRPr="002E3325">
        <w:t xml:space="preserve"> Because the process is a professional review, the Commission strongly encourages institutions seeking program approval to designate a faculty member to serve as a program reviewer</w:t>
      </w:r>
      <w:r w:rsidR="00CF4D38" w:rsidRPr="002E3325">
        <w:t xml:space="preserve"> by submitting an application to the </w:t>
      </w:r>
      <w:r w:rsidR="005577AD" w:rsidRPr="002E3325">
        <w:t xml:space="preserve">BIR, application forms are available on the </w:t>
      </w:r>
      <w:hyperlink r:id="rId35" w:history="1">
        <w:r w:rsidR="004A5EB2" w:rsidRPr="004A5EB2">
          <w:rPr>
            <w:rStyle w:val="Hyperlink"/>
          </w:rPr>
          <w:t xml:space="preserve">BIR </w:t>
        </w:r>
        <w:r w:rsidR="005577AD" w:rsidRPr="004A5EB2">
          <w:rPr>
            <w:rStyle w:val="Hyperlink"/>
          </w:rPr>
          <w:t>website</w:t>
        </w:r>
      </w:hyperlink>
      <w:r w:rsidR="00823B35" w:rsidRPr="002E3325">
        <w:t xml:space="preserve">.  </w:t>
      </w:r>
      <w:r w:rsidRPr="002E3325">
        <w:t>Members are selected according to the Commission's adopted policies governing the selection of pa</w:t>
      </w:r>
      <w:smartTag w:uri="urn:schemas-microsoft-com:office:smarttags" w:element="PersonName">
        <w:r w:rsidRPr="002E3325">
          <w:t>ne</w:t>
        </w:r>
      </w:smartTag>
      <w:r w:rsidRPr="002E3325">
        <w:t>ls.</w:t>
      </w:r>
      <w:r w:rsidRPr="00EB645D">
        <w:t xml:space="preserve"> </w:t>
      </w:r>
      <w:r w:rsidR="00CF4D38">
        <w:t xml:space="preserve"> </w:t>
      </w:r>
    </w:p>
    <w:p w14:paraId="4EAEB955" w14:textId="77777777" w:rsidR="00464B6A" w:rsidRDefault="00464B6A" w:rsidP="003B6A41">
      <w:pPr>
        <w:autoSpaceDE w:val="0"/>
        <w:autoSpaceDN w:val="0"/>
        <w:adjustRightInd w:val="0"/>
        <w:jc w:val="both"/>
      </w:pPr>
    </w:p>
    <w:p w14:paraId="2008DCE1" w14:textId="77777777" w:rsidR="003B6A41" w:rsidRPr="00EB645D" w:rsidRDefault="003B6A41" w:rsidP="003B6A41">
      <w:pPr>
        <w:autoSpaceDE w:val="0"/>
        <w:autoSpaceDN w:val="0"/>
        <w:adjustRightInd w:val="0"/>
        <w:jc w:val="both"/>
      </w:pPr>
      <w:r w:rsidRPr="00EB645D">
        <w:t>The Commission staff conducts a training and calibration session that all reviewers must attend.</w:t>
      </w:r>
    </w:p>
    <w:p w14:paraId="0F0E65E7" w14:textId="77777777" w:rsidR="003B6A41" w:rsidRPr="00EB645D" w:rsidRDefault="003B6A41" w:rsidP="003B6A41">
      <w:pPr>
        <w:autoSpaceDE w:val="0"/>
        <w:autoSpaceDN w:val="0"/>
        <w:adjustRightInd w:val="0"/>
        <w:jc w:val="both"/>
      </w:pPr>
      <w:r w:rsidRPr="00EB645D">
        <w:t>Training includes:</w:t>
      </w:r>
    </w:p>
    <w:p w14:paraId="3668114E" w14:textId="77777777" w:rsidR="003B6A41" w:rsidRPr="00EB645D" w:rsidRDefault="003B6A41" w:rsidP="003B6A41">
      <w:pPr>
        <w:tabs>
          <w:tab w:val="left" w:pos="540"/>
        </w:tabs>
        <w:autoSpaceDE w:val="0"/>
        <w:autoSpaceDN w:val="0"/>
        <w:adjustRightInd w:val="0"/>
        <w:ind w:left="180"/>
        <w:jc w:val="both"/>
      </w:pPr>
      <w:r w:rsidRPr="00EB645D">
        <w:t xml:space="preserve">• </w:t>
      </w:r>
      <w:r w:rsidRPr="00EB645D">
        <w:tab/>
        <w:t>The purpose and function of certification programs for teachers of English lear</w:t>
      </w:r>
      <w:smartTag w:uri="urn:schemas-microsoft-com:office:smarttags" w:element="PersonName">
        <w:r w:rsidRPr="00EB645D">
          <w:t>ne</w:t>
        </w:r>
      </w:smartTag>
      <w:r w:rsidRPr="00EB645D">
        <w:t>rs.</w:t>
      </w:r>
    </w:p>
    <w:p w14:paraId="516CB4A0" w14:textId="77777777" w:rsidR="003B6A41" w:rsidRPr="00EB645D" w:rsidRDefault="003B6A41" w:rsidP="003B6A41">
      <w:pPr>
        <w:tabs>
          <w:tab w:val="left" w:pos="540"/>
        </w:tabs>
        <w:autoSpaceDE w:val="0"/>
        <w:autoSpaceDN w:val="0"/>
        <w:adjustRightInd w:val="0"/>
        <w:ind w:left="180"/>
        <w:jc w:val="both"/>
      </w:pPr>
      <w:r w:rsidRPr="00EB645D">
        <w:t xml:space="preserve">• </w:t>
      </w:r>
      <w:r w:rsidRPr="00EB645D">
        <w:tab/>
        <w:t>The Commission's legal responsibilities in program review and approval.</w:t>
      </w:r>
    </w:p>
    <w:p w14:paraId="525A4F6A" w14:textId="77777777" w:rsidR="003B6A41" w:rsidRPr="00EB645D" w:rsidRDefault="0094101B" w:rsidP="003B6A41">
      <w:pPr>
        <w:tabs>
          <w:tab w:val="left" w:pos="540"/>
        </w:tabs>
        <w:autoSpaceDE w:val="0"/>
        <w:autoSpaceDN w:val="0"/>
        <w:adjustRightInd w:val="0"/>
        <w:ind w:left="180"/>
        <w:jc w:val="both"/>
      </w:pPr>
      <w:r>
        <w:t xml:space="preserve">• </w:t>
      </w:r>
      <w:r>
        <w:tab/>
        <w:t>The role of the reviewers</w:t>
      </w:r>
      <w:r w:rsidR="003B6A41" w:rsidRPr="00EB645D">
        <w:t xml:space="preserve"> in making program determinations.</w:t>
      </w:r>
    </w:p>
    <w:p w14:paraId="6DA587EC" w14:textId="77777777" w:rsidR="003B6A41" w:rsidRPr="00EB645D" w:rsidRDefault="003B6A41" w:rsidP="003B6A41">
      <w:pPr>
        <w:tabs>
          <w:tab w:val="left" w:pos="540"/>
        </w:tabs>
        <w:autoSpaceDE w:val="0"/>
        <w:autoSpaceDN w:val="0"/>
        <w:adjustRightInd w:val="0"/>
        <w:ind w:left="180"/>
        <w:jc w:val="both"/>
      </w:pPr>
      <w:r w:rsidRPr="00EB645D">
        <w:t xml:space="preserve">• </w:t>
      </w:r>
      <w:r w:rsidRPr="00EB645D">
        <w:tab/>
        <w:t xml:space="preserve">The role of the Commission's professional staff in assisting the </w:t>
      </w:r>
      <w:r w:rsidR="0094101B">
        <w:t>process</w:t>
      </w:r>
      <w:r w:rsidRPr="00EB645D">
        <w:t>.</w:t>
      </w:r>
    </w:p>
    <w:p w14:paraId="025C5097" w14:textId="77777777" w:rsidR="003B6A41" w:rsidRPr="00EB645D" w:rsidRDefault="003B6A41" w:rsidP="003B6A41">
      <w:pPr>
        <w:tabs>
          <w:tab w:val="left" w:pos="540"/>
        </w:tabs>
        <w:autoSpaceDE w:val="0"/>
        <w:autoSpaceDN w:val="0"/>
        <w:adjustRightInd w:val="0"/>
        <w:ind w:left="180"/>
        <w:jc w:val="both"/>
      </w:pPr>
      <w:r w:rsidRPr="00EB645D">
        <w:t xml:space="preserve">• </w:t>
      </w:r>
      <w:r w:rsidRPr="00EB645D">
        <w:tab/>
        <w:t xml:space="preserve">A thorough analysis and discussion of the </w:t>
      </w:r>
      <w:r>
        <w:t xml:space="preserve">standards </w:t>
      </w:r>
    </w:p>
    <w:p w14:paraId="2A8C5B0B" w14:textId="77777777" w:rsidR="003B6A41" w:rsidRPr="00EB645D" w:rsidRDefault="003B6A41" w:rsidP="003B6A41">
      <w:pPr>
        <w:tabs>
          <w:tab w:val="left" w:pos="540"/>
        </w:tabs>
        <w:autoSpaceDE w:val="0"/>
        <w:autoSpaceDN w:val="0"/>
        <w:adjustRightInd w:val="0"/>
        <w:ind w:left="180"/>
        <w:jc w:val="both"/>
      </w:pPr>
      <w:r w:rsidRPr="00EB645D">
        <w:t xml:space="preserve">• </w:t>
      </w:r>
      <w:r w:rsidRPr="00EB645D">
        <w:tab/>
        <w:t xml:space="preserve">Alternative ways in which </w:t>
      </w:r>
      <w:r w:rsidR="0094101B">
        <w:t>a</w:t>
      </w:r>
      <w:r w:rsidRPr="00EB645D">
        <w:t xml:space="preserve"> standard could be met.</w:t>
      </w:r>
    </w:p>
    <w:p w14:paraId="658D7296" w14:textId="77777777" w:rsidR="003B6A41" w:rsidRPr="00EB645D" w:rsidRDefault="003B6A41" w:rsidP="003B6A41">
      <w:pPr>
        <w:tabs>
          <w:tab w:val="left" w:pos="540"/>
        </w:tabs>
        <w:autoSpaceDE w:val="0"/>
        <w:autoSpaceDN w:val="0"/>
        <w:adjustRightInd w:val="0"/>
        <w:ind w:left="180"/>
        <w:jc w:val="both"/>
      </w:pPr>
      <w:r w:rsidRPr="00EB645D">
        <w:t xml:space="preserve">• </w:t>
      </w:r>
      <w:r w:rsidRPr="00EB645D">
        <w:tab/>
        <w:t>An overview of review team procedures.</w:t>
      </w:r>
    </w:p>
    <w:p w14:paraId="7E71E12B" w14:textId="77777777" w:rsidR="003B6A41" w:rsidRPr="00EB645D" w:rsidRDefault="003B6A41" w:rsidP="003B6A41">
      <w:pPr>
        <w:tabs>
          <w:tab w:val="left" w:pos="540"/>
        </w:tabs>
        <w:autoSpaceDE w:val="0"/>
        <w:autoSpaceDN w:val="0"/>
        <w:adjustRightInd w:val="0"/>
        <w:ind w:left="180"/>
        <w:jc w:val="both"/>
        <w:rPr>
          <w:sz w:val="20"/>
          <w:szCs w:val="20"/>
        </w:rPr>
      </w:pPr>
      <w:r w:rsidRPr="00EB645D">
        <w:t xml:space="preserve">• </w:t>
      </w:r>
      <w:r w:rsidRPr="00EB645D">
        <w:tab/>
        <w:t>Guided practice and calibration in reviewing programs</w:t>
      </w:r>
    </w:p>
    <w:p w14:paraId="71D83869" w14:textId="77777777" w:rsidR="00505FF7" w:rsidRPr="00505FF7" w:rsidRDefault="003B6A41" w:rsidP="00505FF7">
      <w:pPr>
        <w:tabs>
          <w:tab w:val="left" w:pos="540"/>
        </w:tabs>
        <w:autoSpaceDE w:val="0"/>
        <w:autoSpaceDN w:val="0"/>
        <w:adjustRightInd w:val="0"/>
        <w:ind w:left="180"/>
        <w:jc w:val="both"/>
      </w:pPr>
      <w:r w:rsidRPr="00EB645D">
        <w:t xml:space="preserve">• </w:t>
      </w:r>
      <w:r w:rsidRPr="00EB645D">
        <w:tab/>
        <w:t>Constructive feedback for program revision.</w:t>
      </w:r>
    </w:p>
    <w:p w14:paraId="0EF915D9" w14:textId="77777777" w:rsidR="00505FF7" w:rsidRDefault="00505FF7" w:rsidP="003B6A41">
      <w:pPr>
        <w:tabs>
          <w:tab w:val="left" w:pos="8100"/>
        </w:tabs>
        <w:jc w:val="both"/>
        <w:rPr>
          <w:b/>
        </w:rPr>
      </w:pPr>
    </w:p>
    <w:p w14:paraId="04C7E97F" w14:textId="77777777" w:rsidR="00895D0C" w:rsidRPr="00922F1D" w:rsidRDefault="00895D0C" w:rsidP="003B6A41">
      <w:pPr>
        <w:tabs>
          <w:tab w:val="left" w:pos="8100"/>
        </w:tabs>
        <w:jc w:val="both"/>
        <w:rPr>
          <w:u w:val="single"/>
        </w:rPr>
      </w:pPr>
      <w:r w:rsidRPr="00922F1D">
        <w:rPr>
          <w:u w:val="single"/>
        </w:rPr>
        <w:t xml:space="preserve">Review of Common Standards </w:t>
      </w:r>
      <w:r w:rsidR="00E656C1" w:rsidRPr="00922F1D">
        <w:rPr>
          <w:u w:val="single"/>
        </w:rPr>
        <w:t xml:space="preserve">Addendum </w:t>
      </w:r>
      <w:r w:rsidRPr="00922F1D">
        <w:rPr>
          <w:u w:val="single"/>
        </w:rPr>
        <w:t>and Program Standards</w:t>
      </w:r>
      <w:r w:rsidR="00A60007" w:rsidRPr="00922F1D">
        <w:rPr>
          <w:u w:val="single"/>
        </w:rPr>
        <w:t xml:space="preserve"> </w:t>
      </w:r>
    </w:p>
    <w:p w14:paraId="04556171" w14:textId="77777777" w:rsidR="003B6A41" w:rsidRPr="00EB645D" w:rsidRDefault="003B6A41" w:rsidP="003B6A41">
      <w:pPr>
        <w:jc w:val="both"/>
        <w:rPr>
          <w:color w:val="000000"/>
        </w:rPr>
      </w:pPr>
      <w:r w:rsidRPr="00895D0C">
        <w:rPr>
          <w:color w:val="000000"/>
        </w:rPr>
        <w:t xml:space="preserve">The Commission expects the </w:t>
      </w:r>
      <w:r w:rsidR="00441739">
        <w:rPr>
          <w:color w:val="000000"/>
        </w:rPr>
        <w:t xml:space="preserve">IPR </w:t>
      </w:r>
      <w:r w:rsidRPr="00895D0C">
        <w:rPr>
          <w:color w:val="000000"/>
        </w:rPr>
        <w:t>review</w:t>
      </w:r>
      <w:r w:rsidR="00441739">
        <w:rPr>
          <w:color w:val="000000"/>
        </w:rPr>
        <w:t>ers</w:t>
      </w:r>
      <w:r w:rsidR="00EA5D97">
        <w:rPr>
          <w:color w:val="000000"/>
        </w:rPr>
        <w:t xml:space="preserve"> </w:t>
      </w:r>
      <w:r w:rsidRPr="00895D0C">
        <w:rPr>
          <w:color w:val="000000"/>
        </w:rPr>
        <w:t>to evaluate responses to each standard by considering 1) the quality and thorough</w:t>
      </w:r>
      <w:smartTag w:uri="urn:schemas-microsoft-com:office:smarttags" w:element="PersonName">
        <w:r w:rsidRPr="00895D0C">
          <w:rPr>
            <w:color w:val="000000"/>
          </w:rPr>
          <w:t>ne</w:t>
        </w:r>
      </w:smartTag>
      <w:r w:rsidRPr="00895D0C">
        <w:rPr>
          <w:color w:val="000000"/>
        </w:rPr>
        <w:t>ss of the response, and 2) whether sufficient supporting evidence has been provided by the institution to illustrate how the standard is addressed.  For candidate competency standards, supporting evidence should illustrate when and how the standard is addressed in the candidate’s program, and what outcomes or assessments will be used by the program to ensure that the candidates have mastered the competencies described.</w:t>
      </w:r>
      <w:r w:rsidRPr="00EB645D">
        <w:rPr>
          <w:color w:val="000000"/>
        </w:rPr>
        <w:t xml:space="preserve"> </w:t>
      </w:r>
    </w:p>
    <w:p w14:paraId="5A87D748" w14:textId="77777777" w:rsidR="003B6A41" w:rsidRDefault="003B6A41" w:rsidP="008E043A">
      <w:pPr>
        <w:autoSpaceDE w:val="0"/>
        <w:autoSpaceDN w:val="0"/>
        <w:adjustRightInd w:val="0"/>
        <w:rPr>
          <w:b/>
        </w:rPr>
      </w:pPr>
    </w:p>
    <w:p w14:paraId="285ADDF1" w14:textId="77777777" w:rsidR="0094101B" w:rsidRPr="0094101B" w:rsidRDefault="002E3325" w:rsidP="0094101B">
      <w:r>
        <w:t>Reviewers</w:t>
      </w:r>
      <w:r w:rsidR="0094101B" w:rsidRPr="0094101B">
        <w:t xml:space="preserve"> look for the following information:</w:t>
      </w:r>
    </w:p>
    <w:p w14:paraId="410138E6" w14:textId="77777777" w:rsidR="0094101B" w:rsidRPr="0094101B" w:rsidRDefault="0094101B" w:rsidP="00215566">
      <w:pPr>
        <w:numPr>
          <w:ilvl w:val="0"/>
          <w:numId w:val="11"/>
        </w:numPr>
        <w:tabs>
          <w:tab w:val="clear" w:pos="720"/>
        </w:tabs>
        <w:spacing w:before="120"/>
        <w:ind w:left="360"/>
        <w:jc w:val="both"/>
      </w:pPr>
      <w:r w:rsidRPr="0094101B">
        <w:rPr>
          <w:b/>
        </w:rPr>
        <w:t>Does the narrative response to the standard address “how” the standard is being met?</w:t>
      </w:r>
      <w:r w:rsidRPr="0094101B">
        <w:t xml:space="preserve">  For example:  A sentence of the standard might read, “The teacher preparation program further prepares candidates to evaluate, select, use and adapt state-board adopted and state-board approved materials, as well as other supplemental instructional materials.”  </w:t>
      </w:r>
      <w:r w:rsidRPr="0094101B">
        <w:rPr>
          <w:lang w:val="en"/>
        </w:rPr>
        <w:t>The narrative might respond,</w:t>
      </w:r>
      <w:r w:rsidRPr="0094101B">
        <w:rPr>
          <w:b/>
          <w:lang w:val="en"/>
        </w:rPr>
        <w:t xml:space="preserve"> “</w:t>
      </w:r>
      <w:r w:rsidRPr="0094101B">
        <w:rPr>
          <w:lang w:val="en"/>
        </w:rPr>
        <w:t xml:space="preserve">The teacher preparation program at XYZ College prepares candidates to evaluate, select, use and adapt state-board adopted and state-board approved materials, as well as other supplemental instructional materials.” This does </w:t>
      </w:r>
      <w:r w:rsidRPr="005577AD">
        <w:rPr>
          <w:u w:val="single"/>
          <w:lang w:val="en"/>
        </w:rPr>
        <w:t>not</w:t>
      </w:r>
      <w:r w:rsidRPr="0094101B">
        <w:rPr>
          <w:lang w:val="en"/>
        </w:rPr>
        <w:t xml:space="preserve"> state HOW the program is accomplishing the standard.</w:t>
      </w:r>
    </w:p>
    <w:p w14:paraId="66F09AEE" w14:textId="77777777" w:rsidR="0094101B" w:rsidRPr="0094101B" w:rsidRDefault="0094101B" w:rsidP="00215566">
      <w:pPr>
        <w:numPr>
          <w:ilvl w:val="0"/>
          <w:numId w:val="11"/>
        </w:numPr>
        <w:tabs>
          <w:tab w:val="clear" w:pos="720"/>
        </w:tabs>
        <w:spacing w:before="120"/>
        <w:ind w:left="360"/>
        <w:jc w:val="both"/>
      </w:pPr>
      <w:r w:rsidRPr="0094101B">
        <w:rPr>
          <w:b/>
        </w:rPr>
        <w:t>Does the response meet the language of the standard?</w:t>
      </w:r>
      <w:r w:rsidRPr="0094101B">
        <w:t xml:space="preserve">  Examples: The standard might ask for “multiple, systematic opportunities for candidates to…”  The narrative may only provide </w:t>
      </w:r>
      <w:r w:rsidRPr="005577AD">
        <w:rPr>
          <w:u w:val="single"/>
        </w:rPr>
        <w:t>o</w:t>
      </w:r>
      <w:smartTag w:uri="urn:schemas-microsoft-com:office:smarttags" w:element="PersonName">
        <w:r w:rsidRPr="005577AD">
          <w:rPr>
            <w:u w:val="single"/>
          </w:rPr>
          <w:t>ne</w:t>
        </w:r>
      </w:smartTag>
      <w:r w:rsidRPr="0094101B">
        <w:t xml:space="preserve"> example, or the standard states that “candidates are required to demonstrate” and the response indicates that candidates listen to a lecture and read an </w:t>
      </w:r>
      <w:proofErr w:type="gramStart"/>
      <w:r w:rsidRPr="0094101B">
        <w:t>article</w:t>
      </w:r>
      <w:proofErr w:type="gramEnd"/>
      <w:r w:rsidRPr="0094101B">
        <w:t xml:space="preserve"> but it is </w:t>
      </w:r>
      <w:r w:rsidRPr="005577AD">
        <w:rPr>
          <w:u w:val="single"/>
        </w:rPr>
        <w:t>unclear</w:t>
      </w:r>
      <w:r w:rsidRPr="0094101B">
        <w:t xml:space="preserve"> </w:t>
      </w:r>
      <w:r w:rsidRPr="005577AD">
        <w:rPr>
          <w:b/>
          <w:u w:val="single"/>
        </w:rPr>
        <w:t>how</w:t>
      </w:r>
      <w:r w:rsidRPr="0094101B">
        <w:t xml:space="preserve"> candidates “demonstrate” the skill identified in the standard.</w:t>
      </w:r>
    </w:p>
    <w:p w14:paraId="37749253" w14:textId="77777777" w:rsidR="0094101B" w:rsidRPr="0094101B" w:rsidRDefault="0094101B" w:rsidP="00215566">
      <w:pPr>
        <w:numPr>
          <w:ilvl w:val="0"/>
          <w:numId w:val="11"/>
        </w:numPr>
        <w:tabs>
          <w:tab w:val="clear" w:pos="720"/>
        </w:tabs>
        <w:spacing w:before="120"/>
        <w:ind w:left="360"/>
        <w:jc w:val="both"/>
      </w:pPr>
      <w:r w:rsidRPr="0094101B">
        <w:rPr>
          <w:b/>
        </w:rPr>
        <w:t xml:space="preserve">Does </w:t>
      </w:r>
      <w:proofErr w:type="gramStart"/>
      <w:r w:rsidRPr="0094101B">
        <w:rPr>
          <w:b/>
        </w:rPr>
        <w:t>evidence</w:t>
      </w:r>
      <w:proofErr w:type="gramEnd"/>
      <w:r w:rsidRPr="0094101B">
        <w:rPr>
          <w:b/>
        </w:rPr>
        <w:t xml:space="preserve"> </w:t>
      </w:r>
      <w:proofErr w:type="gramStart"/>
      <w:r w:rsidRPr="0094101B">
        <w:rPr>
          <w:b/>
        </w:rPr>
        <w:t>provided</w:t>
      </w:r>
      <w:proofErr w:type="gramEnd"/>
      <w:r w:rsidRPr="0094101B">
        <w:rPr>
          <w:b/>
        </w:rPr>
        <w:t xml:space="preserve"> support the narrative response to the standard? </w:t>
      </w:r>
      <w:r w:rsidRPr="0094101B">
        <w:t xml:space="preserve"> Examples:  The narrative notes that candidates complete an assignment in a certain course, but there is no mention of it in the syllabus. Or a specific lesson is taught </w:t>
      </w:r>
      <w:proofErr w:type="gramStart"/>
      <w:r w:rsidRPr="0094101B">
        <w:t>in order to</w:t>
      </w:r>
      <w:proofErr w:type="gramEnd"/>
      <w:r w:rsidRPr="0094101B">
        <w:t xml:space="preserve"> meet the standard, but it cannot be found in the syllabi representing all sections of the course.</w:t>
      </w:r>
    </w:p>
    <w:p w14:paraId="0E1E4948" w14:textId="77777777" w:rsidR="00846402" w:rsidRDefault="00846402" w:rsidP="00846402">
      <w:pPr>
        <w:jc w:val="both"/>
        <w:sectPr w:rsidR="00846402" w:rsidSect="00505FF7">
          <w:footnotePr>
            <w:numStart w:val="0"/>
          </w:footnotePr>
          <w:pgSz w:w="12240" w:h="15840" w:code="1"/>
          <w:pgMar w:top="720" w:right="1008" w:bottom="1440" w:left="1008" w:header="720" w:footer="720" w:gutter="0"/>
          <w:pgNumType w:start="1"/>
          <w:cols w:space="0"/>
        </w:sectPr>
      </w:pPr>
    </w:p>
    <w:p w14:paraId="3AEDFB71" w14:textId="77777777" w:rsidR="00A72CD6" w:rsidRPr="00251A71" w:rsidRDefault="00A72CD6" w:rsidP="0082302B">
      <w:pPr>
        <w:pStyle w:val="Heading2"/>
      </w:pPr>
      <w:bookmarkStart w:id="91" w:name="Appendix_A"/>
      <w:bookmarkStart w:id="92" w:name="_Toc337553983"/>
      <w:bookmarkStart w:id="93" w:name="_Toc135655560"/>
      <w:r w:rsidRPr="008A0731">
        <w:lastRenderedPageBreak/>
        <w:t>A</w:t>
      </w:r>
      <w:r w:rsidR="006A536C">
        <w:t>ppendix</w:t>
      </w:r>
      <w:bookmarkEnd w:id="91"/>
      <w:r w:rsidR="00251A71">
        <w:t xml:space="preserve"> A: </w:t>
      </w:r>
      <w:r w:rsidRPr="00251A71">
        <w:t>Program Standards for Bilingual Authorization</w:t>
      </w:r>
      <w:bookmarkEnd w:id="92"/>
      <w:bookmarkEnd w:id="93"/>
    </w:p>
    <w:p w14:paraId="56D3DEF0" w14:textId="77777777" w:rsidR="00A72CD6" w:rsidRDefault="00A72CD6" w:rsidP="00A72CD6"/>
    <w:p w14:paraId="191C8291" w14:textId="77777777" w:rsidR="00A72CD6" w:rsidRPr="00520A16" w:rsidRDefault="00A72CD6" w:rsidP="00A72CD6"/>
    <w:p w14:paraId="75C9C54C" w14:textId="77777777" w:rsidR="00A72CD6" w:rsidRPr="00520A16" w:rsidRDefault="00A72CD6" w:rsidP="0082302B">
      <w:pPr>
        <w:pStyle w:val="Heading3"/>
      </w:pPr>
      <w:bookmarkStart w:id="94" w:name="Appendix_A_S1"/>
      <w:bookmarkStart w:id="95" w:name="_Toc337553984"/>
      <w:bookmarkStart w:id="96" w:name="_Toc135655561"/>
      <w:r w:rsidRPr="00520A16">
        <w:t>Standard 1:  Program Design</w:t>
      </w:r>
      <w:bookmarkEnd w:id="95"/>
      <w:bookmarkEnd w:id="96"/>
    </w:p>
    <w:bookmarkEnd w:id="94"/>
    <w:p w14:paraId="58A2DF88" w14:textId="77777777" w:rsidR="00A72CD6" w:rsidRPr="00520A16" w:rsidRDefault="00A72CD6" w:rsidP="00215566">
      <w:pPr>
        <w:jc w:val="both"/>
      </w:pPr>
      <w:r w:rsidRPr="00520A16">
        <w:t xml:space="preserve">The design of the professional bilingual teacher preparation program follows from an explicit statement of program philosophy and purpose and is coordinated effectively in accordance with a cohesive design that has a cogent rationale. The program philosophy articulates a clear understanding of the instructional </w:t>
      </w:r>
      <w:smartTag w:uri="urn:schemas-microsoft-com:office:smarttags" w:element="PersonName">
        <w:r w:rsidRPr="00520A16">
          <w:t>ne</w:t>
        </w:r>
      </w:smartTag>
      <w:r w:rsidRPr="00520A16">
        <w:t>eds of lear</w:t>
      </w:r>
      <w:smartTag w:uri="urn:schemas-microsoft-com:office:smarttags" w:element="PersonName">
        <w:r w:rsidRPr="00520A16">
          <w:t>ne</w:t>
        </w:r>
      </w:smartTag>
      <w:r w:rsidRPr="00520A16">
        <w:t xml:space="preserve">rs in bilingual settings. The sponsoring institution </w:t>
      </w:r>
      <w:proofErr w:type="gramStart"/>
      <w:r w:rsidRPr="00520A16">
        <w:t>shows</w:t>
      </w:r>
      <w:proofErr w:type="gramEnd"/>
      <w:r w:rsidRPr="00520A16">
        <w:t xml:space="preserve"> a high priority to the program by providing appropriate support for the program and a demonstrated commitment to teacher preparation and to bilingual education. The program has a leadership team whose members are qualified in the areas of teacher preparation and bilingual instruction. The program demonstrates initial and ongoing collaboration with local school districts </w:t>
      </w:r>
      <w:proofErr w:type="gramStart"/>
      <w:r w:rsidRPr="00520A16">
        <w:t>in order to</w:t>
      </w:r>
      <w:proofErr w:type="gramEnd"/>
      <w:r w:rsidRPr="00520A16">
        <w:t xml:space="preserve"> reflect the </w:t>
      </w:r>
      <w:smartTag w:uri="urn:schemas-microsoft-com:office:smarttags" w:element="PersonName">
        <w:r w:rsidRPr="00520A16">
          <w:t>ne</w:t>
        </w:r>
      </w:smartTag>
      <w:r w:rsidRPr="00520A16">
        <w:t>eds of teachers serving in bilingual programs at the local and state level. This on-going coordination between the bilingual program and other teacher development programs is desig</w:t>
      </w:r>
      <w:smartTag w:uri="urn:schemas-microsoft-com:office:smarttags" w:element="PersonName">
        <w:r w:rsidRPr="00520A16">
          <w:t>ne</w:t>
        </w:r>
      </w:smartTag>
      <w:r w:rsidRPr="00520A16">
        <w:t>d to strengthen the learning-to-teach continuum for teachers of lear</w:t>
      </w:r>
      <w:smartTag w:uri="urn:schemas-microsoft-com:office:smarttags" w:element="PersonName">
        <w:r w:rsidRPr="00520A16">
          <w:t>ne</w:t>
        </w:r>
      </w:smartTag>
      <w:r w:rsidRPr="00520A16">
        <w:t>rs in bilingual classroom. The curriculum is desig</w:t>
      </w:r>
      <w:smartTag w:uri="urn:schemas-microsoft-com:office:smarttags" w:element="PersonName">
        <w:r w:rsidRPr="00520A16">
          <w:t>ne</w:t>
        </w:r>
      </w:smartTag>
      <w:r w:rsidRPr="00520A16">
        <w:t>d around the Knowledge, Skills, and Abilities (KSAs) for Bilingual Methodology and Culture. It provides candidates with a depth of knowledge regarding current research-based theories and research in academic and content literacy in two languages, building upon both SB 2042 and California Teachers of English Lear</w:t>
      </w:r>
      <w:smartTag w:uri="urn:schemas-microsoft-com:office:smarttags" w:element="PersonName">
        <w:r w:rsidRPr="00520A16">
          <w:t>ne</w:t>
        </w:r>
      </w:smartTag>
      <w:r w:rsidRPr="00520A16">
        <w:t>rs (CTEL) competencies.  The program shows candidates how to help lear</w:t>
      </w:r>
      <w:smartTag w:uri="urn:schemas-microsoft-com:office:smarttags" w:element="PersonName">
        <w:r w:rsidRPr="00520A16">
          <w:t>ne</w:t>
        </w:r>
      </w:smartTag>
      <w:r w:rsidRPr="00520A16">
        <w:t>rs to access the K-12 grade level content instruction and how to provide benchmarks of English Lear</w:t>
      </w:r>
      <w:smartTag w:uri="urn:schemas-microsoft-com:office:smarttags" w:element="PersonName">
        <w:r w:rsidRPr="00520A16">
          <w:t>ne</w:t>
        </w:r>
      </w:smartTag>
      <w:r w:rsidRPr="00520A16">
        <w:t>rs’ progress toward meeting standards as defi</w:t>
      </w:r>
      <w:smartTag w:uri="urn:schemas-microsoft-com:office:smarttags" w:element="PersonName">
        <w:r w:rsidRPr="00520A16">
          <w:t>ne</w:t>
        </w:r>
      </w:smartTag>
      <w:r w:rsidRPr="00520A16">
        <w:t>d in the California Curriculum Frameworks (2006).  The design of the program clearly indicates the options for completion of the program in a concurrent model and/or as a post-credential model.</w:t>
      </w:r>
    </w:p>
    <w:p w14:paraId="7B664609" w14:textId="77777777" w:rsidR="00A72CD6" w:rsidRPr="00520A16" w:rsidRDefault="00A72CD6" w:rsidP="00A72CD6">
      <w:pPr>
        <w:rPr>
          <w:b/>
        </w:rPr>
      </w:pPr>
    </w:p>
    <w:p w14:paraId="1D99BB1C" w14:textId="77777777" w:rsidR="00A72CD6" w:rsidRPr="00520A16" w:rsidRDefault="00A72CD6" w:rsidP="0082302B">
      <w:pPr>
        <w:pStyle w:val="Heading3"/>
      </w:pPr>
      <w:bookmarkStart w:id="97" w:name="Appendix_A_S2"/>
      <w:bookmarkStart w:id="98" w:name="_Toc337553985"/>
      <w:bookmarkStart w:id="99" w:name="_Toc135655562"/>
      <w:r w:rsidRPr="00520A16">
        <w:t>Standard 2:  Assessment of Candidate Competence</w:t>
      </w:r>
      <w:bookmarkEnd w:id="98"/>
      <w:bookmarkEnd w:id="99"/>
    </w:p>
    <w:bookmarkEnd w:id="97"/>
    <w:p w14:paraId="2DABF41E" w14:textId="77777777" w:rsidR="00A72CD6" w:rsidRPr="00520A16" w:rsidRDefault="00A72CD6" w:rsidP="00215566">
      <w:pPr>
        <w:jc w:val="both"/>
      </w:pPr>
      <w:r w:rsidRPr="00520A16">
        <w:t>Prior to recommending each candidate for a bilingual authorization, o</w:t>
      </w:r>
      <w:smartTag w:uri="urn:schemas-microsoft-com:office:smarttags" w:element="PersonName">
        <w:r w:rsidRPr="00520A16">
          <w:t>ne</w:t>
        </w:r>
      </w:smartTag>
      <w:r w:rsidRPr="00520A16">
        <w:t xml:space="preserve"> or more persons responsible for the program determi</w:t>
      </w:r>
      <w:smartTag w:uri="urn:schemas-microsoft-com:office:smarttags" w:element="PersonName">
        <w:r w:rsidRPr="00520A16">
          <w:t>ne</w:t>
        </w:r>
      </w:smartTag>
      <w:r w:rsidRPr="00520A16">
        <w:t xml:space="preserve"> </w:t>
      </w:r>
      <w:proofErr w:type="gramStart"/>
      <w:r w:rsidRPr="00520A16">
        <w:t>on the basis of</w:t>
      </w:r>
      <w:proofErr w:type="gramEnd"/>
      <w:r w:rsidRPr="00520A16">
        <w:t xml:space="preserve"> thoroughly documented evidence that each candidate has demonstrated a satisfactory performance on the full range of program standards including language proficiency as they apply to bilingual authorization. During the program, candidates are guided and coached on their performance in bilingual instruction using formative assessment processes. Verification of candidate’s performance is provided by both institutional and field-based individuals with bilingual expertise and/or possessing bilingual authorization.</w:t>
      </w:r>
    </w:p>
    <w:p w14:paraId="38C0FFA9" w14:textId="77777777" w:rsidR="00A72CD6" w:rsidRPr="00520A16" w:rsidRDefault="00A72CD6" w:rsidP="00A72CD6">
      <w:pPr>
        <w:rPr>
          <w:b/>
        </w:rPr>
      </w:pPr>
    </w:p>
    <w:p w14:paraId="5F1CCB49" w14:textId="77777777" w:rsidR="00A72CD6" w:rsidRPr="00520A16" w:rsidRDefault="00A72CD6" w:rsidP="0082302B">
      <w:pPr>
        <w:pStyle w:val="Heading3"/>
      </w:pPr>
      <w:bookmarkStart w:id="100" w:name="Appendix_A_S3"/>
      <w:bookmarkStart w:id="101" w:name="_Toc337553986"/>
      <w:bookmarkStart w:id="102" w:name="_Toc135655563"/>
      <w:r w:rsidRPr="00520A16">
        <w:t xml:space="preserve">Standard 3:  The Context for Bilingual </w:t>
      </w:r>
      <w:smartTag w:uri="urn:schemas-microsoft-com:office:smarttags" w:element="PersonName">
        <w:r w:rsidRPr="00520A16">
          <w:t>Ed</w:t>
        </w:r>
      </w:smartTag>
      <w:r w:rsidRPr="00520A16">
        <w:t>ucation and Bilingualism</w:t>
      </w:r>
      <w:bookmarkEnd w:id="101"/>
      <w:bookmarkEnd w:id="102"/>
    </w:p>
    <w:bookmarkEnd w:id="100"/>
    <w:p w14:paraId="6EAFA800" w14:textId="77777777" w:rsidR="00A72CD6" w:rsidRPr="00520A16" w:rsidRDefault="00A72CD6" w:rsidP="00215566">
      <w:pPr>
        <w:jc w:val="both"/>
      </w:pPr>
      <w:r w:rsidRPr="00520A16">
        <w:t>The professional bilingual teacher preparation program provides candidates with knowledge of the history, policies, programs, and research on the effective</w:t>
      </w:r>
      <w:smartTag w:uri="urn:schemas-microsoft-com:office:smarttags" w:element="PersonName">
        <w:r w:rsidRPr="00520A16">
          <w:t>ne</w:t>
        </w:r>
      </w:smartTag>
      <w:r w:rsidRPr="00520A16">
        <w:t xml:space="preserve">ss of bilingual education and bilingualism in the United States.  The program develops candidates who demonstrate understanding of the philosophical, theoretical, </w:t>
      </w:r>
      <w:proofErr w:type="gramStart"/>
      <w:r w:rsidRPr="00520A16">
        <w:t>legal</w:t>
      </w:r>
      <w:proofErr w:type="gramEnd"/>
      <w:r w:rsidRPr="00520A16">
        <w:t xml:space="preserve"> and legislative foundations of bilingual education and their effects on program design and educational achievement.</w:t>
      </w:r>
    </w:p>
    <w:p w14:paraId="63CD0B33" w14:textId="77777777" w:rsidR="00A72CD6" w:rsidRPr="00520A16" w:rsidRDefault="00A72CD6" w:rsidP="00A72CD6"/>
    <w:p w14:paraId="4C337F77" w14:textId="77777777" w:rsidR="00A72CD6" w:rsidRPr="00520A16" w:rsidRDefault="00A72CD6" w:rsidP="00215566">
      <w:pPr>
        <w:jc w:val="both"/>
      </w:pPr>
      <w:r w:rsidRPr="00520A16">
        <w:t xml:space="preserve">Candidates apply knowledge of the research on the cognitive effects of bilingualism and biliteracy as developmental processes in instructional practice.  Candidates understand and apply research and its effects on the dimensions of learning in bilingual education program models.  The program prepares candidates’ knowledge of the transferability between primary and target language with </w:t>
      </w:r>
      <w:r w:rsidRPr="00520A16">
        <w:lastRenderedPageBreak/>
        <w:t>the understanding that the level of transferability is affected by the level of compatibility and may vary among languages.</w:t>
      </w:r>
    </w:p>
    <w:p w14:paraId="6EADCD32" w14:textId="77777777" w:rsidR="00A72CD6" w:rsidRPr="00520A16" w:rsidRDefault="00A72CD6" w:rsidP="00215566">
      <w:pPr>
        <w:jc w:val="both"/>
      </w:pPr>
    </w:p>
    <w:p w14:paraId="1CA5F69F" w14:textId="77777777" w:rsidR="00A72CD6" w:rsidRPr="00520A16" w:rsidRDefault="00A72CD6" w:rsidP="00215566">
      <w:pPr>
        <w:jc w:val="both"/>
      </w:pPr>
      <w:r w:rsidRPr="00520A16">
        <w:t xml:space="preserve">The program prepares candidates to actively promote authentic parental participation that includes learning about school systems, assuming leadership roles and affecting policy.  The program promotes candidates’ understanding of the family as a primary language and cultural resource. Candidates are cognizant that students’ motivation, </w:t>
      </w:r>
      <w:proofErr w:type="gramStart"/>
      <w:r w:rsidRPr="00520A16">
        <w:t>participation</w:t>
      </w:r>
      <w:proofErr w:type="gramEnd"/>
      <w:r w:rsidRPr="00520A16">
        <w:t xml:space="preserve"> and achievement are influenced by an intercultural classroom climate and school community.</w:t>
      </w:r>
    </w:p>
    <w:p w14:paraId="25F2E431" w14:textId="77777777" w:rsidR="00A72CD6" w:rsidRPr="00520A16" w:rsidRDefault="00A72CD6" w:rsidP="00215566">
      <w:pPr>
        <w:jc w:val="both"/>
        <w:rPr>
          <w:b/>
        </w:rPr>
      </w:pPr>
    </w:p>
    <w:p w14:paraId="7228E8A4" w14:textId="77777777" w:rsidR="00A72CD6" w:rsidRDefault="00A72CD6" w:rsidP="00A72CD6">
      <w:r w:rsidRPr="00520A16">
        <w:t>PROGRAM PLANNING QUESTIONS</w:t>
      </w:r>
    </w:p>
    <w:p w14:paraId="2671C84D" w14:textId="77777777" w:rsidR="00A72CD6" w:rsidRPr="00520A16" w:rsidRDefault="00A72CD6" w:rsidP="00A72CD6"/>
    <w:p w14:paraId="761DFB06" w14:textId="77777777" w:rsidR="00A72CD6" w:rsidRPr="00520A16" w:rsidRDefault="00A72CD6" w:rsidP="00215566">
      <w:pPr>
        <w:numPr>
          <w:ilvl w:val="2"/>
          <w:numId w:val="23"/>
        </w:numPr>
        <w:jc w:val="both"/>
      </w:pPr>
      <w:r w:rsidRPr="00520A16">
        <w:t xml:space="preserve">How does the program ensure that candidates develop understanding of the philosophical, theoretical, and research bases for bilingual education, including knowledge of the historical and legal foundations of bilingual education in the United States (e.g., Elementary and Secondary </w:t>
      </w:r>
      <w:smartTag w:uri="urn:schemas-microsoft-com:office:smarttags" w:element="PersonName">
        <w:r w:rsidRPr="00520A16">
          <w:t>Ed</w:t>
        </w:r>
      </w:smartTag>
      <w:r w:rsidRPr="00520A16">
        <w:t>ucation Act [ESEA], Lau v. Nichols, Castañeda v. Pickard) and California (e.g., Méndez v. Westminster, Proposition 227, Williams v. State of California) and their effects on bilingual education programs?</w:t>
      </w:r>
    </w:p>
    <w:p w14:paraId="77341933" w14:textId="77777777" w:rsidR="00A72CD6" w:rsidRPr="00520A16" w:rsidRDefault="00A72CD6" w:rsidP="00215566">
      <w:pPr>
        <w:numPr>
          <w:ilvl w:val="1"/>
          <w:numId w:val="23"/>
        </w:numPr>
        <w:tabs>
          <w:tab w:val="clear" w:pos="360"/>
          <w:tab w:val="num" w:pos="720"/>
        </w:tabs>
        <w:ind w:left="720" w:hanging="720"/>
        <w:jc w:val="both"/>
      </w:pPr>
      <w:r w:rsidRPr="00520A16">
        <w:t xml:space="preserve">How does the program ensure that candidates can analyze the effects and impact of federal, </w:t>
      </w:r>
      <w:proofErr w:type="gramStart"/>
      <w:r w:rsidRPr="00520A16">
        <w:t>state</w:t>
      </w:r>
      <w:proofErr w:type="gramEnd"/>
      <w:r w:rsidRPr="00520A16">
        <w:t xml:space="preserve"> and local policies on the measurement of educational achievement of students in bilingual programs?</w:t>
      </w:r>
    </w:p>
    <w:p w14:paraId="24B7BBD4" w14:textId="77777777" w:rsidR="00A72CD6" w:rsidRPr="00520A16" w:rsidRDefault="00A72CD6" w:rsidP="00215566">
      <w:pPr>
        <w:numPr>
          <w:ilvl w:val="1"/>
          <w:numId w:val="23"/>
        </w:numPr>
        <w:tabs>
          <w:tab w:val="clear" w:pos="360"/>
          <w:tab w:val="num" w:pos="720"/>
        </w:tabs>
        <w:ind w:left="720" w:hanging="720"/>
        <w:jc w:val="both"/>
      </w:pPr>
      <w:r w:rsidRPr="00520A16">
        <w:t>How does the program help candidates to develop understanding of the theoretical foundations, practice, limitations, and effects of the deficit perspective of bilingual education (e.g., viewing the primary language as an obstacle, limiting use of the primary language, promoting assimilation in the target culture) and the enrichment perspective of bilingual education (e.g., viewing the primary language as a right and an asset, promoting the development of bilingualism and biculturalism, promoting acculturation to the target culture?</w:t>
      </w:r>
    </w:p>
    <w:p w14:paraId="37AD890F" w14:textId="77777777" w:rsidR="00A72CD6" w:rsidRPr="00520A16" w:rsidRDefault="00A72CD6" w:rsidP="00215566">
      <w:pPr>
        <w:numPr>
          <w:ilvl w:val="1"/>
          <w:numId w:val="23"/>
        </w:numPr>
        <w:tabs>
          <w:tab w:val="clear" w:pos="360"/>
          <w:tab w:val="num" w:pos="720"/>
        </w:tabs>
        <w:ind w:left="720" w:hanging="720"/>
        <w:jc w:val="both"/>
      </w:pPr>
      <w:r w:rsidRPr="00520A16">
        <w:t>How does the program provide guidance for philosophical, theoretical, and research bases for bilingual education, including the characteristics, compo</w:t>
      </w:r>
      <w:smartTag w:uri="urn:schemas-microsoft-com:office:smarttags" w:element="PersonName">
        <w:r w:rsidRPr="00520A16">
          <w:t>ne</w:t>
        </w:r>
      </w:smartTag>
      <w:r w:rsidRPr="00520A16">
        <w:t>nts, be</w:t>
      </w:r>
      <w:smartTag w:uri="urn:schemas-microsoft-com:office:smarttags" w:element="PersonName">
        <w:r w:rsidRPr="00520A16">
          <w:t>ne</w:t>
        </w:r>
      </w:smartTag>
      <w:r w:rsidRPr="00520A16">
        <w:t>fits, and limitations of research-based program models of bilingual education (e.g., dual-language, o</w:t>
      </w:r>
      <w:smartTag w:uri="urn:schemas-microsoft-com:office:smarttags" w:element="PersonName">
        <w:r w:rsidRPr="00520A16">
          <w:t>ne</w:t>
        </w:r>
      </w:smartTag>
      <w:r w:rsidRPr="00520A16">
        <w:t>-way immersion, two-way immersion, transitional bilingual education, maintenance bilingual education, heritage language education)?</w:t>
      </w:r>
    </w:p>
    <w:p w14:paraId="176FE483" w14:textId="77777777" w:rsidR="00251A71" w:rsidRDefault="00251A71" w:rsidP="00251A71">
      <w:pPr>
        <w:ind w:left="720"/>
        <w:jc w:val="both"/>
      </w:pPr>
    </w:p>
    <w:p w14:paraId="3A9E23D2" w14:textId="77777777" w:rsidR="00A72CD6" w:rsidRPr="00520A16" w:rsidRDefault="00A72CD6" w:rsidP="00215566">
      <w:pPr>
        <w:numPr>
          <w:ilvl w:val="1"/>
          <w:numId w:val="23"/>
        </w:numPr>
        <w:tabs>
          <w:tab w:val="clear" w:pos="360"/>
          <w:tab w:val="num" w:pos="720"/>
        </w:tabs>
        <w:ind w:left="720" w:hanging="720"/>
        <w:jc w:val="both"/>
      </w:pPr>
      <w:r w:rsidRPr="00520A16">
        <w:t>What compo</w:t>
      </w:r>
      <w:smartTag w:uri="urn:schemas-microsoft-com:office:smarttags" w:element="PersonName">
        <w:r w:rsidRPr="00520A16">
          <w:t>ne</w:t>
        </w:r>
      </w:smartTag>
      <w:r w:rsidRPr="00520A16">
        <w:t xml:space="preserve">nts of the program prepare candidates to develop and apply knowledge of metacognitive and metalinguistic processes (e.g., choosing the appropriate language to use </w:t>
      </w:r>
      <w:proofErr w:type="gramStart"/>
      <w:r w:rsidRPr="00520A16">
        <w:t>in a given</w:t>
      </w:r>
      <w:proofErr w:type="gramEnd"/>
      <w:r w:rsidRPr="00520A16">
        <w:t xml:space="preserve"> situation, evaluating similarities and differences between languages, transferring linguistic knowledge between languages) and roles of code-switching, language mixing and interlanguage in the development of bilingualism and biliteracy?</w:t>
      </w:r>
    </w:p>
    <w:p w14:paraId="5FD10BE6" w14:textId="77777777" w:rsidR="00A72CD6" w:rsidRPr="00520A16" w:rsidRDefault="00A72CD6" w:rsidP="00215566">
      <w:pPr>
        <w:numPr>
          <w:ilvl w:val="1"/>
          <w:numId w:val="23"/>
        </w:numPr>
        <w:tabs>
          <w:tab w:val="clear" w:pos="360"/>
          <w:tab w:val="num" w:pos="720"/>
        </w:tabs>
        <w:ind w:left="720" w:hanging="720"/>
        <w:jc w:val="both"/>
      </w:pPr>
      <w:r w:rsidRPr="00520A16">
        <w:t>What compo</w:t>
      </w:r>
      <w:smartTag w:uri="urn:schemas-microsoft-com:office:smarttags" w:element="PersonName">
        <w:r w:rsidRPr="00520A16">
          <w:t>ne</w:t>
        </w:r>
      </w:smartTag>
      <w:r w:rsidRPr="00520A16">
        <w:t>nts of the program support teachers to understand brain research on the developmental processes of bilingualism and biliteracy, and apply knowledge for appropriate language use and usage (e.g., translation, language allocation by program model) when interacting with students at different developmental stages of bilingualism and biliteracy?</w:t>
      </w:r>
    </w:p>
    <w:p w14:paraId="71C263DF" w14:textId="77777777" w:rsidR="00A72CD6" w:rsidRPr="00520A16" w:rsidRDefault="00A72CD6" w:rsidP="00215566">
      <w:pPr>
        <w:ind w:left="720" w:hanging="720"/>
        <w:jc w:val="both"/>
      </w:pPr>
      <w:r>
        <w:t>3.7</w:t>
      </w:r>
      <w:r>
        <w:tab/>
      </w:r>
      <w:r w:rsidRPr="00520A16">
        <w:t xml:space="preserve">How does the program develop each </w:t>
      </w:r>
      <w:proofErr w:type="gramStart"/>
      <w:r w:rsidRPr="00520A16">
        <w:t>candidates’</w:t>
      </w:r>
      <w:proofErr w:type="gramEnd"/>
      <w:r w:rsidRPr="00520A16">
        <w:t xml:space="preserve"> understanding of the transferability of language and literacy skills and the acquisition of content and context knowledge between </w:t>
      </w:r>
      <w:r w:rsidRPr="00520A16">
        <w:lastRenderedPageBreak/>
        <w:t>the primary and target languages, including ways in which language transfer can be affected by the level of compatibility between the primary and target language?</w:t>
      </w:r>
    </w:p>
    <w:p w14:paraId="497E62BD" w14:textId="77777777" w:rsidR="00A72CD6" w:rsidRPr="00520A16" w:rsidRDefault="00A72CD6" w:rsidP="00215566">
      <w:pPr>
        <w:numPr>
          <w:ilvl w:val="1"/>
          <w:numId w:val="24"/>
        </w:numPr>
        <w:tabs>
          <w:tab w:val="clear" w:pos="360"/>
        </w:tabs>
        <w:ind w:left="720" w:hanging="720"/>
        <w:jc w:val="both"/>
      </w:pPr>
      <w:r w:rsidRPr="00520A16">
        <w:t>How does the program incorporate opportunities for candidates to apply knowledge of the use of contrastive analysis (i.e., comparing and contrasting similarities and differences, including no</w:t>
      </w:r>
      <w:smartTag w:uri="urn:schemas-microsoft-com:office:smarttags" w:element="PersonName">
        <w:r w:rsidRPr="00520A16">
          <w:t>ne</w:t>
        </w:r>
      </w:smartTag>
      <w:r w:rsidRPr="00520A16">
        <w:t xml:space="preserve">xistent features, in the phonology, morphology, syntax, lexicon, and usage of different </w:t>
      </w:r>
      <w:proofErr w:type="gramStart"/>
      <w:r w:rsidRPr="00520A16">
        <w:t>languages )</w:t>
      </w:r>
      <w:proofErr w:type="gramEnd"/>
      <w:r w:rsidRPr="00520A16">
        <w:t xml:space="preserve"> to facilitate development of listening, speaking, reading, and writings skills in the primary and target language?</w:t>
      </w:r>
    </w:p>
    <w:p w14:paraId="109EC8E6" w14:textId="77777777" w:rsidR="00A72CD6" w:rsidRPr="00520A16" w:rsidRDefault="00A72CD6" w:rsidP="00215566">
      <w:pPr>
        <w:numPr>
          <w:ilvl w:val="1"/>
          <w:numId w:val="24"/>
        </w:numPr>
        <w:tabs>
          <w:tab w:val="clear" w:pos="360"/>
          <w:tab w:val="num" w:pos="720"/>
        </w:tabs>
        <w:ind w:left="720" w:hanging="720"/>
        <w:jc w:val="both"/>
      </w:pPr>
      <w:r w:rsidRPr="00520A16">
        <w:t>How does the program prepare candidates to enhance school-home part</w:t>
      </w:r>
      <w:smartTag w:uri="urn:schemas-microsoft-com:office:smarttags" w:element="PersonName">
        <w:r w:rsidRPr="00520A16">
          <w:t>ne</w:t>
        </w:r>
      </w:smartTag>
      <w:r w:rsidRPr="00520A16">
        <w:t xml:space="preserve">rships, and assist in identifying and using community resources? (i.e., candidates support families to contribute their knowledge to culturally inclusive institutions </w:t>
      </w:r>
      <w:proofErr w:type="gramStart"/>
      <w:r w:rsidRPr="00520A16">
        <w:t>and  participate</w:t>
      </w:r>
      <w:proofErr w:type="gramEnd"/>
      <w:r w:rsidRPr="00520A16">
        <w:t xml:space="preserve"> in school forums and organizations)  </w:t>
      </w:r>
    </w:p>
    <w:p w14:paraId="368DEA09" w14:textId="77777777" w:rsidR="00A72CD6" w:rsidRPr="00520A16" w:rsidRDefault="00A72CD6" w:rsidP="00215566">
      <w:pPr>
        <w:numPr>
          <w:ilvl w:val="1"/>
          <w:numId w:val="24"/>
        </w:numPr>
        <w:tabs>
          <w:tab w:val="clear" w:pos="360"/>
          <w:tab w:val="num" w:pos="720"/>
        </w:tabs>
        <w:ind w:left="720" w:hanging="720"/>
        <w:jc w:val="both"/>
      </w:pPr>
      <w:r>
        <w:t>H</w:t>
      </w:r>
      <w:r w:rsidRPr="00520A16">
        <w:t>ow does the program prepare candidates for effective, two-way communication with families through the appropriate medium (e.g. parent conferences, pho</w:t>
      </w:r>
      <w:smartTag w:uri="urn:schemas-microsoft-com:office:smarttags" w:element="PersonName">
        <w:r w:rsidRPr="00520A16">
          <w:t>ne</w:t>
        </w:r>
      </w:smartTag>
      <w:r w:rsidRPr="00520A16">
        <w:t>, home visits, written communication, e-mail, and videos in the primary language) on matters of students success, the family’s educational goals, guidance, notification of rights, placement and program options; understanding student achievement and assessment results; parent roles in supporting student achievement; school and district policies and parent opportunities to influence school policy?</w:t>
      </w:r>
    </w:p>
    <w:p w14:paraId="7D5823DF" w14:textId="77777777" w:rsidR="00A72CD6" w:rsidRPr="00520A16" w:rsidRDefault="00A72CD6" w:rsidP="00215566">
      <w:pPr>
        <w:numPr>
          <w:ilvl w:val="1"/>
          <w:numId w:val="24"/>
        </w:numPr>
        <w:tabs>
          <w:tab w:val="clear" w:pos="360"/>
          <w:tab w:val="num" w:pos="720"/>
        </w:tabs>
        <w:ind w:left="720" w:hanging="720"/>
        <w:jc w:val="both"/>
      </w:pPr>
      <w:r>
        <w:t>H</w:t>
      </w:r>
      <w:r w:rsidRPr="00520A16">
        <w:t xml:space="preserve">ow does the program promote the candidates’ understanding of cultural influences on learning and teaching in bilingual program settings and the understanding of the effects of intercultural communication on school/community climate, student motivation, </w:t>
      </w:r>
      <w:proofErr w:type="gramStart"/>
      <w:r w:rsidRPr="00520A16">
        <w:t>participation</w:t>
      </w:r>
      <w:proofErr w:type="gramEnd"/>
      <w:r w:rsidRPr="00520A16">
        <w:t xml:space="preserve"> and achievement?</w:t>
      </w:r>
    </w:p>
    <w:p w14:paraId="39652297" w14:textId="77777777" w:rsidR="00A72CD6" w:rsidRPr="00520A16" w:rsidRDefault="00A72CD6" w:rsidP="00215566">
      <w:pPr>
        <w:jc w:val="both"/>
        <w:rPr>
          <w:b/>
        </w:rPr>
      </w:pPr>
    </w:p>
    <w:p w14:paraId="77ECC901" w14:textId="77777777" w:rsidR="00A72CD6" w:rsidRPr="00520A16" w:rsidRDefault="00A72CD6" w:rsidP="0082302B">
      <w:pPr>
        <w:pStyle w:val="Heading3"/>
      </w:pPr>
      <w:bookmarkStart w:id="103" w:name="Appendix_A_S4"/>
      <w:bookmarkStart w:id="104" w:name="_Toc337553987"/>
      <w:bookmarkStart w:id="105" w:name="_Toc135655564"/>
      <w:r w:rsidRPr="00520A16">
        <w:t>Standard 4:  Bilingual Methodology</w:t>
      </w:r>
      <w:bookmarkEnd w:id="103"/>
      <w:bookmarkEnd w:id="104"/>
      <w:bookmarkEnd w:id="105"/>
    </w:p>
    <w:p w14:paraId="51E81683" w14:textId="77777777" w:rsidR="00A72CD6" w:rsidRPr="00520A16" w:rsidRDefault="00A72CD6" w:rsidP="00215566">
      <w:pPr>
        <w:jc w:val="both"/>
      </w:pPr>
      <w:r w:rsidRPr="00520A16">
        <w:t>The bilingual teacher preparation program prepares bilingual candidates to understand the interrelated</w:t>
      </w:r>
      <w:smartTag w:uri="urn:schemas-microsoft-com:office:smarttags" w:element="PersonName">
        <w:r w:rsidRPr="00520A16">
          <w:t>ne</w:t>
        </w:r>
      </w:smartTag>
      <w:r w:rsidRPr="00520A16">
        <w:t xml:space="preserve">ss among the four domains of language (listening, speaking, reading, and writing) and to know language forms and functions. The program also prepares candidates to plan, develop, </w:t>
      </w:r>
      <w:proofErr w:type="gramStart"/>
      <w:r w:rsidRPr="00520A16">
        <w:t>implement</w:t>
      </w:r>
      <w:proofErr w:type="gramEnd"/>
      <w:r w:rsidRPr="00520A16">
        <w:t xml:space="preserve"> and assess standards-alig</w:t>
      </w:r>
      <w:smartTag w:uri="urn:schemas-microsoft-com:office:smarttags" w:element="PersonName">
        <w:r w:rsidRPr="00520A16">
          <w:t>ne</w:t>
        </w:r>
      </w:smartTag>
      <w:r w:rsidRPr="00520A16">
        <w:t>d content instruction in the primary and target language. Candidates are prepared to employ</w:t>
      </w:r>
      <w:r w:rsidRPr="00520A16">
        <w:rPr>
          <w:b/>
        </w:rPr>
        <w:t xml:space="preserve"> </w:t>
      </w:r>
      <w:r w:rsidRPr="00520A16">
        <w:t xml:space="preserve">a variety of instructional and assessment strategies, appropriate to student language proficiency levels, that foster higher-order thinking skills. The program ensures that bilingual candidates have knowledge of bilingual instructional models, instructional </w:t>
      </w:r>
      <w:proofErr w:type="gramStart"/>
      <w:r w:rsidRPr="00520A16">
        <w:t>strategies</w:t>
      </w:r>
      <w:proofErr w:type="gramEnd"/>
      <w:r w:rsidRPr="00520A16">
        <w:t xml:space="preserve"> and materials to appropriately apply them to their instructional and assessment practices. In addition, programs develop bilingual candidates’ understanding</w:t>
      </w:r>
      <w:r w:rsidRPr="00520A16">
        <w:rPr>
          <w:b/>
        </w:rPr>
        <w:t xml:space="preserve"> </w:t>
      </w:r>
      <w:r w:rsidRPr="00520A16">
        <w:t xml:space="preserve">of knowledge of intercultural communication and interaction that is linguistically and culturally responsive. The bilingual teacher preparation program further prepares candidates to evaluate, select, </w:t>
      </w:r>
      <w:proofErr w:type="gramStart"/>
      <w:r w:rsidRPr="00520A16">
        <w:t>use</w:t>
      </w:r>
      <w:proofErr w:type="gramEnd"/>
      <w:r w:rsidRPr="00520A16">
        <w:t xml:space="preserve"> and adapt state-board adopted and state-board approved materials, as well as other supplemental instructional materials.  The program provides opportunities for teacher candidates to demonstrate the ability to use a variety of criteria for selection of instructional materials, to assess the suitability and appropriate</w:t>
      </w:r>
      <w:smartTag w:uri="urn:schemas-microsoft-com:office:smarttags" w:element="PersonName">
        <w:r w:rsidRPr="00520A16">
          <w:t>ne</w:t>
        </w:r>
      </w:smartTag>
      <w:r w:rsidRPr="00520A16">
        <w:t xml:space="preserve">ss for local context and to augment resources when they are not suitable or available. </w:t>
      </w:r>
    </w:p>
    <w:p w14:paraId="4FB46FD6" w14:textId="77777777" w:rsidR="00A72CD6" w:rsidRPr="00520A16" w:rsidRDefault="00A72CD6" w:rsidP="00215566">
      <w:pPr>
        <w:jc w:val="both"/>
        <w:rPr>
          <w:b/>
          <w:bCs/>
        </w:rPr>
      </w:pPr>
    </w:p>
    <w:p w14:paraId="5833532F" w14:textId="77777777" w:rsidR="00A72CD6" w:rsidRPr="00520A16" w:rsidRDefault="00A72CD6" w:rsidP="00215566">
      <w:pPr>
        <w:jc w:val="both"/>
      </w:pPr>
      <w:r w:rsidRPr="00520A16">
        <w:t>PROGRAM PLANNING QUESTIONS</w:t>
      </w:r>
    </w:p>
    <w:p w14:paraId="440B283C" w14:textId="77777777" w:rsidR="00A72CD6" w:rsidRPr="00520A16" w:rsidRDefault="00A72CD6" w:rsidP="00215566">
      <w:pPr>
        <w:jc w:val="both"/>
      </w:pPr>
    </w:p>
    <w:p w14:paraId="7B1370CB" w14:textId="77777777" w:rsidR="00A72CD6" w:rsidRPr="00520A16" w:rsidRDefault="00A72CD6" w:rsidP="00215566">
      <w:pPr>
        <w:ind w:left="720" w:hanging="720"/>
        <w:jc w:val="both"/>
      </w:pPr>
      <w:proofErr w:type="gramStart"/>
      <w:r w:rsidRPr="00520A16">
        <w:t xml:space="preserve">4.1  </w:t>
      </w:r>
      <w:r w:rsidRPr="00520A16">
        <w:tab/>
      </w:r>
      <w:proofErr w:type="gramEnd"/>
      <w:r w:rsidRPr="00520A16">
        <w:t>How does the program design and develop the candidates’ understanding of the applications, be</w:t>
      </w:r>
      <w:smartTag w:uri="urn:schemas-microsoft-com:office:smarttags" w:element="PersonName">
        <w:r w:rsidRPr="00520A16">
          <w:t>ne</w:t>
        </w:r>
      </w:smartTag>
      <w:r w:rsidRPr="00520A16">
        <w:t>fits and</w:t>
      </w:r>
      <w:r w:rsidRPr="00520A16" w:rsidDel="008353FD">
        <w:t xml:space="preserve"> </w:t>
      </w:r>
      <w:r w:rsidRPr="00520A16">
        <w:t>limitations of different bilingual program models?</w:t>
      </w:r>
    </w:p>
    <w:p w14:paraId="33DB0446" w14:textId="77777777" w:rsidR="00A72CD6" w:rsidRPr="00520A16" w:rsidRDefault="00A72CD6" w:rsidP="00215566">
      <w:pPr>
        <w:ind w:left="720" w:hanging="720"/>
        <w:jc w:val="both"/>
      </w:pPr>
      <w:r w:rsidRPr="00520A16">
        <w:lastRenderedPageBreak/>
        <w:t xml:space="preserve">4.2 </w:t>
      </w:r>
      <w:r w:rsidRPr="00520A16">
        <w:tab/>
        <w:t>How does the program provide candidates the understanding of ways in which variations in students’ primary languages (e. g, dialectal and/or tonal differences, use of vernacular forms) can be used to facilitate the development of social and academic language?</w:t>
      </w:r>
      <w:r w:rsidRPr="00520A16" w:rsidDel="008353FD">
        <w:t xml:space="preserve"> </w:t>
      </w:r>
    </w:p>
    <w:p w14:paraId="743FB3E3" w14:textId="77777777" w:rsidR="00A72CD6" w:rsidRPr="00520A16" w:rsidRDefault="00A72CD6" w:rsidP="00215566">
      <w:pPr>
        <w:ind w:left="720" w:hanging="720"/>
        <w:jc w:val="both"/>
      </w:pPr>
      <w:r w:rsidRPr="00520A16">
        <w:t xml:space="preserve">4.3 </w:t>
      </w:r>
      <w:r w:rsidRPr="00520A16">
        <w:tab/>
        <w:t>How does the program ensure that candidates apply knowledge of language structures (e.g., word roots, prefixes, suffixes), forms (e.g., registers) and functions (e.g., informing, describing, persuading) to develop and deliver effective language and literacy instruction in the primary and target languages?</w:t>
      </w:r>
    </w:p>
    <w:p w14:paraId="4AE51016" w14:textId="77777777" w:rsidR="00A72CD6" w:rsidRPr="00520A16" w:rsidRDefault="00A72CD6" w:rsidP="00215566">
      <w:pPr>
        <w:ind w:left="720" w:hanging="720"/>
        <w:jc w:val="both"/>
      </w:pPr>
      <w:r w:rsidRPr="00520A16">
        <w:t xml:space="preserve">4.4 </w:t>
      </w:r>
      <w:r w:rsidRPr="00520A16">
        <w:tab/>
        <w:t xml:space="preserve">How does the program ensure that candidates demonstrate knowledge of literary analysis in appropriate genres and forms, and their significance for planning, organization, and delivery including strategies to provide differentiated instruction in primary and target language instruction based on student proficiency levels. </w:t>
      </w:r>
    </w:p>
    <w:p w14:paraId="50A70950" w14:textId="77777777" w:rsidR="00A72CD6" w:rsidRPr="00520A16" w:rsidRDefault="00A72CD6" w:rsidP="00215566">
      <w:pPr>
        <w:ind w:left="720" w:hanging="720"/>
        <w:jc w:val="both"/>
      </w:pPr>
      <w:r w:rsidRPr="00520A16">
        <w:t xml:space="preserve">4.5 </w:t>
      </w:r>
      <w:r w:rsidRPr="00520A16">
        <w:tab/>
        <w:t xml:space="preserve">How does the program ensure that candidates demonstrate understanding of the roles, </w:t>
      </w:r>
      <w:proofErr w:type="gramStart"/>
      <w:r w:rsidRPr="00520A16">
        <w:t>purposes</w:t>
      </w:r>
      <w:proofErr w:type="gramEnd"/>
      <w:r w:rsidRPr="00520A16">
        <w:t xml:space="preserve"> and uses of standardized and non-standardized primary and target language assessments in bilingual education settings in order to interpret the results to plan, organize, modify and differentiate instruction in the appropriate language(s) in bilingual education settings?</w:t>
      </w:r>
      <w:r w:rsidRPr="00520A16" w:rsidDel="008353FD">
        <w:t xml:space="preserve"> </w:t>
      </w:r>
    </w:p>
    <w:p w14:paraId="331D1C6D" w14:textId="77777777" w:rsidR="00A72CD6" w:rsidRPr="00520A16" w:rsidRDefault="00A72CD6" w:rsidP="00215566">
      <w:pPr>
        <w:ind w:left="720" w:hanging="720"/>
        <w:jc w:val="both"/>
      </w:pPr>
      <w:r w:rsidRPr="00520A16">
        <w:t xml:space="preserve">4.6 </w:t>
      </w:r>
      <w:r w:rsidRPr="00520A16">
        <w:tab/>
        <w:t>How does the program ensure that candidates demonstrate the ability to evaluate and incorporate technology to develop students’ literacy in the primary and target languages as well as to evaluate the effective</w:t>
      </w:r>
      <w:smartTag w:uri="urn:schemas-microsoft-com:office:smarttags" w:element="PersonName">
        <w:r w:rsidRPr="00520A16">
          <w:t>ne</w:t>
        </w:r>
      </w:smartTag>
      <w:r w:rsidRPr="00520A16">
        <w:t xml:space="preserve">ss of technology for literacy development? </w:t>
      </w:r>
    </w:p>
    <w:p w14:paraId="7ED85DAE" w14:textId="77777777" w:rsidR="00A72CD6" w:rsidRPr="00520A16" w:rsidRDefault="00A72CD6" w:rsidP="00215566">
      <w:pPr>
        <w:ind w:left="720" w:hanging="720"/>
        <w:jc w:val="both"/>
      </w:pPr>
      <w:r w:rsidRPr="00520A16">
        <w:t xml:space="preserve">4.7 </w:t>
      </w:r>
      <w:r w:rsidRPr="00520A16">
        <w:tab/>
        <w:t>How does the program ensure that candidates demonstrate knowledge of strategies for aligning instruction with California K-12 content standards and frameworks appropriate to grade-level expectations and students’ language proficiency in the primary and target languages?</w:t>
      </w:r>
    </w:p>
    <w:p w14:paraId="4D8EE57B" w14:textId="77777777" w:rsidR="00A72CD6" w:rsidRPr="00520A16" w:rsidRDefault="00A72CD6" w:rsidP="00215566">
      <w:pPr>
        <w:ind w:left="720" w:hanging="720"/>
        <w:jc w:val="both"/>
      </w:pPr>
      <w:r w:rsidRPr="00520A16">
        <w:t xml:space="preserve">4.8 </w:t>
      </w:r>
      <w:r w:rsidRPr="00520A16">
        <w:tab/>
        <w:t>How does the program ensure that candidates demonstrate understanding of the interrelated</w:t>
      </w:r>
      <w:smartTag w:uri="urn:schemas-microsoft-com:office:smarttags" w:element="PersonName">
        <w:r w:rsidRPr="00520A16">
          <w:t>ne</w:t>
        </w:r>
      </w:smartTag>
      <w:r w:rsidRPr="00520A16">
        <w:t xml:space="preserve">ss of language and literacy development </w:t>
      </w:r>
      <w:proofErr w:type="gramStart"/>
      <w:r w:rsidRPr="00520A16">
        <w:t>in order to</w:t>
      </w:r>
      <w:proofErr w:type="gramEnd"/>
      <w:r w:rsidRPr="00520A16">
        <w:t xml:space="preserve"> plan, select and use a variety of strategies for developing students’ content-area knowledge and skills in bilingual education settings including language and grade-level content objectives in lesson, providing linguistic scaffolding and activating background knowledge and experiences?</w:t>
      </w:r>
    </w:p>
    <w:p w14:paraId="7E067087" w14:textId="77777777" w:rsidR="00A72CD6" w:rsidRPr="00520A16" w:rsidRDefault="00A72CD6" w:rsidP="00215566">
      <w:pPr>
        <w:ind w:left="720" w:hanging="720"/>
        <w:jc w:val="both"/>
      </w:pPr>
      <w:r w:rsidRPr="00520A16">
        <w:t xml:space="preserve">4.9 </w:t>
      </w:r>
      <w:r w:rsidRPr="00520A16">
        <w:tab/>
        <w:t>How does the program ensure that candidates demonstrate understanding of a variety of instructional approaches that foster student engagement and interaction and   the development of higher-order thinking skills (e.g., analysis, inference, synthesis, evaluation) and facilitate students’ understanding and use of content-specific language functions (e.g., analyzing, comparing and contrasting, persuading, citing evidence, making hypotheses) in oral and written forms of the primary and target language?</w:t>
      </w:r>
    </w:p>
    <w:p w14:paraId="5817EADF" w14:textId="77777777" w:rsidR="00A72CD6" w:rsidRPr="00520A16" w:rsidRDefault="00A72CD6" w:rsidP="00215566">
      <w:pPr>
        <w:ind w:left="720" w:hanging="720"/>
        <w:jc w:val="both"/>
      </w:pPr>
      <w:r w:rsidRPr="00520A16">
        <w:t xml:space="preserve">4.10 </w:t>
      </w:r>
      <w:r w:rsidRPr="00520A16">
        <w:tab/>
        <w:t xml:space="preserve">How does the program ensure that candidates demonstrate understanding of ways in which students’ life experiences (immigrant or refugee experience, prior educational experiences, oral tradition), language development, and language variations can be used to foster content learning in the primary and target languages? </w:t>
      </w:r>
    </w:p>
    <w:p w14:paraId="289A425B" w14:textId="77777777" w:rsidR="00A72CD6" w:rsidRPr="00520A16" w:rsidRDefault="00A72CD6" w:rsidP="00215566">
      <w:pPr>
        <w:ind w:left="720" w:hanging="720"/>
        <w:jc w:val="both"/>
      </w:pPr>
      <w:r w:rsidRPr="00520A16">
        <w:t xml:space="preserve">4.11 </w:t>
      </w:r>
      <w:r w:rsidRPr="00520A16">
        <w:tab/>
        <w:t xml:space="preserve">How does the program ensure that candidates demonstrate the ability to select, develop and/or adapt, </w:t>
      </w:r>
      <w:proofErr w:type="gramStart"/>
      <w:r w:rsidRPr="00520A16">
        <w:t>administer</w:t>
      </w:r>
      <w:proofErr w:type="gramEnd"/>
      <w:r w:rsidRPr="00520A16">
        <w:t xml:space="preserve"> and interpret a variety of content assessments </w:t>
      </w:r>
      <w:r w:rsidRPr="00520A16" w:rsidDel="008353FD">
        <w:t xml:space="preserve">in order to </w:t>
      </w:r>
      <w:r w:rsidRPr="00520A16">
        <w:t>plan, organize and differentiate instruction in bilingual settings?</w:t>
      </w:r>
    </w:p>
    <w:p w14:paraId="40F072A1" w14:textId="77777777" w:rsidR="00A72CD6" w:rsidRPr="00520A16" w:rsidRDefault="00A72CD6" w:rsidP="00215566">
      <w:pPr>
        <w:ind w:left="720" w:hanging="720"/>
        <w:jc w:val="both"/>
      </w:pPr>
      <w:r w:rsidRPr="00520A16">
        <w:t xml:space="preserve">4.12 </w:t>
      </w:r>
      <w:r w:rsidRPr="00520A16">
        <w:tab/>
        <w:t xml:space="preserve">How does the program ensure that candidates </w:t>
      </w:r>
      <w:proofErr w:type="gramStart"/>
      <w:r w:rsidRPr="00520A16">
        <w:t>have the ability to</w:t>
      </w:r>
      <w:proofErr w:type="gramEnd"/>
      <w:r w:rsidRPr="00520A16">
        <w:t xml:space="preserve"> reflect upon and implement effective practice that fosters the development of biliteracy through content instruction?</w:t>
      </w:r>
    </w:p>
    <w:p w14:paraId="636A4E99" w14:textId="77777777" w:rsidR="00A72CD6" w:rsidRPr="00520A16" w:rsidRDefault="00A72CD6" w:rsidP="00215566">
      <w:pPr>
        <w:ind w:left="720" w:hanging="720"/>
        <w:jc w:val="both"/>
      </w:pPr>
      <w:r w:rsidRPr="00520A16">
        <w:t xml:space="preserve">4.13 </w:t>
      </w:r>
      <w:r w:rsidRPr="00520A16">
        <w:tab/>
        <w:t xml:space="preserve">How does the program promote the candidates’ understanding of central concepts of intercultural communication including patterns of nonverbal communication, oral and </w:t>
      </w:r>
      <w:r w:rsidRPr="00520A16">
        <w:lastRenderedPageBreak/>
        <w:t xml:space="preserve">written </w:t>
      </w:r>
      <w:proofErr w:type="gramStart"/>
      <w:r w:rsidRPr="00520A16">
        <w:t>discourse</w:t>
      </w:r>
      <w:proofErr w:type="gramEnd"/>
      <w:r w:rsidRPr="00520A16">
        <w:t xml:space="preserve"> and origins of dialectical and/or tonal variations and their influence on standard academic language development?</w:t>
      </w:r>
    </w:p>
    <w:p w14:paraId="005621B2" w14:textId="77777777" w:rsidR="00A72CD6" w:rsidRPr="00520A16" w:rsidRDefault="00A72CD6" w:rsidP="00215566">
      <w:pPr>
        <w:ind w:left="720" w:hanging="720"/>
        <w:jc w:val="both"/>
      </w:pPr>
      <w:r w:rsidRPr="00520A16">
        <w:t xml:space="preserve">4.14 </w:t>
      </w:r>
      <w:r w:rsidRPr="00520A16">
        <w:tab/>
        <w:t>How does the program ensure that candidates demonstrate the ability to review and evaluate materials, to identify potential areas of offense or bias (e.g., race, class, gender, religion, country of origin) and to ensure appropriate representation of linguistic and cultural diversity within and across language and cultural groups?</w:t>
      </w:r>
    </w:p>
    <w:p w14:paraId="0357628A" w14:textId="77777777" w:rsidR="00A72CD6" w:rsidRPr="00520A16" w:rsidRDefault="00A72CD6" w:rsidP="00215566">
      <w:pPr>
        <w:ind w:left="720" w:hanging="720"/>
        <w:jc w:val="both"/>
      </w:pPr>
      <w:r w:rsidRPr="00520A16">
        <w:t xml:space="preserve">4.15 </w:t>
      </w:r>
      <w:r w:rsidRPr="00520A16">
        <w:tab/>
        <w:t>How does the program ensure that candidates demonstrate the ability to develop, adapt, evaluate, and/or align primary and target language materials, content standards and curriculum frameworks?</w:t>
      </w:r>
    </w:p>
    <w:p w14:paraId="4A6BF671" w14:textId="77777777" w:rsidR="00A72CD6" w:rsidRPr="00520A16" w:rsidRDefault="00A72CD6" w:rsidP="00215566">
      <w:pPr>
        <w:ind w:left="720" w:hanging="720"/>
        <w:jc w:val="both"/>
      </w:pPr>
      <w:r w:rsidRPr="00520A16">
        <w:t xml:space="preserve">4.16 </w:t>
      </w:r>
      <w:r w:rsidRPr="00520A16">
        <w:tab/>
        <w:t>How does the program ensure that candidates demonstrate the ability to evaluate and select state-adopted and state-approved textbooks, and supplementary materials in primary and target language for bilingual education settings based on a variety of criteria including appropriate</w:t>
      </w:r>
      <w:smartTag w:uri="urn:schemas-microsoft-com:office:smarttags" w:element="PersonName">
        <w:r w:rsidRPr="00520A16">
          <w:t>ne</w:t>
        </w:r>
      </w:smartTag>
      <w:r w:rsidRPr="00520A16">
        <w:t xml:space="preserve">ss for instructional purpose, alignment with curriculum, student and community </w:t>
      </w:r>
      <w:smartTag w:uri="urn:schemas-microsoft-com:office:smarttags" w:element="PersonName">
        <w:r w:rsidRPr="00520A16">
          <w:t>ne</w:t>
        </w:r>
      </w:smartTag>
      <w:r w:rsidRPr="00520A16">
        <w:t>eds and level of academic language?</w:t>
      </w:r>
    </w:p>
    <w:p w14:paraId="2ADA18A4" w14:textId="77777777" w:rsidR="00251A71" w:rsidRDefault="00251A71" w:rsidP="00C94995">
      <w:pPr>
        <w:pStyle w:val="Style2"/>
      </w:pPr>
      <w:bookmarkStart w:id="106" w:name="Appendix_A_S5"/>
    </w:p>
    <w:p w14:paraId="0BF01922" w14:textId="77777777" w:rsidR="00A72CD6" w:rsidRPr="00520A16" w:rsidRDefault="00A72CD6" w:rsidP="0082302B">
      <w:pPr>
        <w:pStyle w:val="Heading3"/>
      </w:pPr>
      <w:bookmarkStart w:id="107" w:name="_Toc337553988"/>
      <w:bookmarkStart w:id="108" w:name="_Toc135655565"/>
      <w:r w:rsidRPr="00520A16">
        <w:t>Standard 5:  Culture of Emphasis</w:t>
      </w:r>
      <w:bookmarkEnd w:id="106"/>
      <w:bookmarkEnd w:id="107"/>
      <w:bookmarkEnd w:id="108"/>
    </w:p>
    <w:p w14:paraId="1500E0C1" w14:textId="77777777" w:rsidR="00A72CD6" w:rsidRPr="00520A16" w:rsidRDefault="00A72CD6" w:rsidP="00215566">
      <w:pPr>
        <w:jc w:val="both"/>
      </w:pPr>
      <w:r w:rsidRPr="00520A16">
        <w:t xml:space="preserve">The professional bilingual teacher preparation program develops candidates’ knowledge of the traditions, roles, status, and communication patterns of the culture of emphasis as experienced in the country or countries of origin and in the United States.  Included in that knowledge is the understanding of crosscultural, intercultural and intracultural relationships and interactions, as well as contributions of the culture of emphasis in California and the United States.  Also included is the knowledge of major historical events, political, economic, religious, and educational factors that influence the socialization and acculturation experiences of the target groups in the California and the U.S.  Candidates demonstrate knowledge of the country/countries of origin, including geographic barriers, demographic and linguistic patterns, and the ways in which these affect trends of migration, </w:t>
      </w:r>
      <w:proofErr w:type="gramStart"/>
      <w:r w:rsidRPr="00520A16">
        <w:t>immigration</w:t>
      </w:r>
      <w:proofErr w:type="gramEnd"/>
      <w:r w:rsidRPr="00520A16">
        <w:t xml:space="preserve"> and settlement in the United States.</w:t>
      </w:r>
    </w:p>
    <w:p w14:paraId="5DBB16D1" w14:textId="77777777" w:rsidR="00A72CD6" w:rsidRPr="00520A16" w:rsidRDefault="00A72CD6" w:rsidP="00215566">
      <w:pPr>
        <w:jc w:val="both"/>
        <w:rPr>
          <w:b/>
        </w:rPr>
      </w:pPr>
    </w:p>
    <w:p w14:paraId="6D672D6F" w14:textId="77777777" w:rsidR="00A72CD6" w:rsidRPr="00520A16" w:rsidRDefault="00A72CD6" w:rsidP="00215566">
      <w:pPr>
        <w:jc w:val="both"/>
      </w:pPr>
      <w:r w:rsidRPr="00520A16">
        <w:t>PROGRAM PLANNING QUESTIONS</w:t>
      </w:r>
    </w:p>
    <w:p w14:paraId="2A46EF8A" w14:textId="77777777" w:rsidR="00A72CD6" w:rsidRDefault="00A72CD6" w:rsidP="00215566">
      <w:pPr>
        <w:ind w:left="720" w:hanging="720"/>
        <w:jc w:val="both"/>
        <w:rPr>
          <w:bCs/>
        </w:rPr>
      </w:pPr>
    </w:p>
    <w:p w14:paraId="7E60507A" w14:textId="77777777" w:rsidR="00A72CD6" w:rsidRPr="00520A16" w:rsidRDefault="00A72CD6" w:rsidP="00215566">
      <w:pPr>
        <w:ind w:left="720" w:hanging="720"/>
        <w:jc w:val="both"/>
        <w:rPr>
          <w:bCs/>
        </w:rPr>
      </w:pPr>
      <w:r>
        <w:rPr>
          <w:bCs/>
        </w:rPr>
        <w:t xml:space="preserve">5.1 </w:t>
      </w:r>
      <w:r>
        <w:rPr>
          <w:bCs/>
        </w:rPr>
        <w:tab/>
      </w:r>
      <w:r w:rsidRPr="00520A16">
        <w:rPr>
          <w:bCs/>
        </w:rPr>
        <w:t>How does the program curriculum develop the candidates’ knowledge and understanding of significant geographic, demographic, sociocultural and economic factors of the country/ countries of origin and the effect these factors have on language, cultural and social variations within the culture of emphasis in California and the U.S.?</w:t>
      </w:r>
    </w:p>
    <w:p w14:paraId="4FFC663C" w14:textId="77777777" w:rsidR="00A72CD6" w:rsidRPr="00520A16" w:rsidRDefault="00A72CD6" w:rsidP="00215566">
      <w:pPr>
        <w:ind w:left="720" w:hanging="720"/>
        <w:jc w:val="both"/>
        <w:rPr>
          <w:bCs/>
        </w:rPr>
      </w:pPr>
      <w:r>
        <w:rPr>
          <w:bCs/>
        </w:rPr>
        <w:t xml:space="preserve">5.2 </w:t>
      </w:r>
      <w:r>
        <w:rPr>
          <w:bCs/>
        </w:rPr>
        <w:tab/>
      </w:r>
      <w:r w:rsidRPr="00520A16">
        <w:rPr>
          <w:bCs/>
        </w:rPr>
        <w:t>How does the program’s curriculum account for the candidates’ understanding of historical and contemporary immigration/migration and settlement/resettlement patterns among the culture of emphasis in the country/countries of origin and the United States, including the influence of economic globalization patterns?</w:t>
      </w:r>
    </w:p>
    <w:p w14:paraId="20EAE6D6" w14:textId="77777777" w:rsidR="00A72CD6" w:rsidRPr="00520A16" w:rsidRDefault="00A72CD6" w:rsidP="00215566">
      <w:pPr>
        <w:numPr>
          <w:ilvl w:val="1"/>
          <w:numId w:val="25"/>
        </w:numPr>
        <w:tabs>
          <w:tab w:val="clear" w:pos="360"/>
          <w:tab w:val="num" w:pos="720"/>
        </w:tabs>
        <w:ind w:left="720" w:hanging="720"/>
        <w:jc w:val="both"/>
        <w:rPr>
          <w:bCs/>
        </w:rPr>
      </w:pPr>
      <w:r w:rsidRPr="00520A16">
        <w:rPr>
          <w:bCs/>
        </w:rPr>
        <w:t xml:space="preserve">How does the program’s curriculum provide candidates with knowledge of the major historical eras, </w:t>
      </w:r>
      <w:proofErr w:type="gramStart"/>
      <w:r w:rsidRPr="00520A16">
        <w:rPr>
          <w:bCs/>
        </w:rPr>
        <w:t>movements</w:t>
      </w:r>
      <w:proofErr w:type="gramEnd"/>
      <w:r w:rsidRPr="00520A16">
        <w:rPr>
          <w:bCs/>
        </w:rPr>
        <w:t xml:space="preserve"> and developments of the country/countries of origin and help the candidates to analyze and understand the influences of those historical events on the culture of emphasis in California and the U.S.?</w:t>
      </w:r>
    </w:p>
    <w:p w14:paraId="6EA66DD1" w14:textId="77777777" w:rsidR="00A72CD6" w:rsidRPr="00520A16" w:rsidRDefault="00A72CD6" w:rsidP="00215566">
      <w:pPr>
        <w:numPr>
          <w:ilvl w:val="1"/>
          <w:numId w:val="25"/>
        </w:numPr>
        <w:tabs>
          <w:tab w:val="clear" w:pos="360"/>
          <w:tab w:val="num" w:pos="720"/>
        </w:tabs>
        <w:ind w:left="720" w:hanging="720"/>
        <w:jc w:val="both"/>
        <w:rPr>
          <w:bCs/>
        </w:rPr>
      </w:pPr>
      <w:r w:rsidRPr="00520A16">
        <w:rPr>
          <w:bCs/>
        </w:rPr>
        <w:t>How does the program help candidates to recognize the primary social and political structures within the country/countries of origin, and demonstrate understanding of the beliefs, values, and contributions of various groups, including indigenous populations, to the culture of emphasis in California and the U.S.?</w:t>
      </w:r>
    </w:p>
    <w:p w14:paraId="01CFCF1C" w14:textId="77777777" w:rsidR="00A72CD6" w:rsidRPr="00520A16" w:rsidRDefault="00A72CD6" w:rsidP="00215566">
      <w:pPr>
        <w:numPr>
          <w:ilvl w:val="1"/>
          <w:numId w:val="25"/>
        </w:numPr>
        <w:tabs>
          <w:tab w:val="clear" w:pos="360"/>
          <w:tab w:val="num" w:pos="0"/>
        </w:tabs>
        <w:ind w:left="720" w:hanging="720"/>
        <w:jc w:val="both"/>
        <w:rPr>
          <w:bCs/>
        </w:rPr>
      </w:pPr>
      <w:r w:rsidRPr="00520A16">
        <w:rPr>
          <w:bCs/>
        </w:rPr>
        <w:lastRenderedPageBreak/>
        <w:t>How does the program curriculum prepare the candidates regarding the effects of historical and social factors (e.g., economic, political, religious, class structure) of the country/countries of origin and help the candidates to analyze and understand the influences of these factors on the culture of emphasis in California and the U.S.?</w:t>
      </w:r>
    </w:p>
    <w:p w14:paraId="1C49131B" w14:textId="77777777" w:rsidR="00A72CD6" w:rsidRPr="00520A16" w:rsidRDefault="00A72CD6" w:rsidP="00215566">
      <w:pPr>
        <w:numPr>
          <w:ilvl w:val="1"/>
          <w:numId w:val="25"/>
        </w:numPr>
        <w:tabs>
          <w:tab w:val="clear" w:pos="360"/>
          <w:tab w:val="num" w:pos="720"/>
        </w:tabs>
        <w:ind w:left="720" w:hanging="720"/>
        <w:jc w:val="both"/>
        <w:rPr>
          <w:bCs/>
        </w:rPr>
      </w:pPr>
      <w:r w:rsidRPr="00520A16">
        <w:rPr>
          <w:bCs/>
        </w:rPr>
        <w:t>How does the program prepare candidates to understand that the roles and status of an individual (i.e., economic, gender, racial, ethnic, social class, age, education level) influence inter- and intracultural relationships and how those factors affect the process of acculturation in California and the U.S.?</w:t>
      </w:r>
    </w:p>
    <w:p w14:paraId="3A6EB38D" w14:textId="77777777" w:rsidR="00A72CD6" w:rsidRPr="00520A16" w:rsidRDefault="00A72CD6" w:rsidP="00215566">
      <w:pPr>
        <w:numPr>
          <w:ilvl w:val="1"/>
          <w:numId w:val="25"/>
        </w:numPr>
        <w:tabs>
          <w:tab w:val="clear" w:pos="360"/>
          <w:tab w:val="num" w:pos="720"/>
        </w:tabs>
        <w:ind w:left="720" w:hanging="720"/>
        <w:jc w:val="both"/>
        <w:rPr>
          <w:bCs/>
        </w:rPr>
      </w:pPr>
      <w:r w:rsidRPr="00520A16">
        <w:rPr>
          <w:bCs/>
        </w:rPr>
        <w:t>How does the program prepare candidates to demonstrate understanding of the educational system in the country/countries of origin and how they are able to analyze ways in which these systems and structures have influenced their involvement in schools of the United States?</w:t>
      </w:r>
    </w:p>
    <w:p w14:paraId="43EAF04E" w14:textId="77777777" w:rsidR="00A72CD6" w:rsidRPr="00520A16" w:rsidRDefault="00A72CD6" w:rsidP="00215566">
      <w:pPr>
        <w:jc w:val="both"/>
        <w:rPr>
          <w:bCs/>
        </w:rPr>
      </w:pPr>
    </w:p>
    <w:p w14:paraId="2711B023" w14:textId="77777777" w:rsidR="00A72CD6" w:rsidRPr="00520A16" w:rsidRDefault="00A72CD6" w:rsidP="0082302B">
      <w:pPr>
        <w:pStyle w:val="Heading3"/>
      </w:pPr>
      <w:bookmarkStart w:id="109" w:name="Appendix_A_S6"/>
      <w:bookmarkStart w:id="110" w:name="_Toc337553989"/>
      <w:bookmarkStart w:id="111" w:name="_Toc135655566"/>
      <w:r w:rsidRPr="00520A16">
        <w:t>Standard 6:  Assessment of Candidate Language Competence</w:t>
      </w:r>
      <w:bookmarkEnd w:id="109"/>
      <w:bookmarkEnd w:id="110"/>
      <w:bookmarkEnd w:id="111"/>
    </w:p>
    <w:p w14:paraId="6C9EF359" w14:textId="77777777" w:rsidR="00A72CD6" w:rsidRPr="00520A16" w:rsidRDefault="00A72CD6" w:rsidP="00215566">
      <w:pPr>
        <w:jc w:val="both"/>
        <w:rPr>
          <w:bCs/>
        </w:rPr>
      </w:pPr>
      <w:r w:rsidRPr="00520A16">
        <w:rPr>
          <w:bCs/>
        </w:rPr>
        <w:t>The institution must verify, during the program or at its completion that the candidate has attai</w:t>
      </w:r>
      <w:smartTag w:uri="urn:schemas-microsoft-com:office:smarttags" w:element="PersonName">
        <w:r w:rsidRPr="00520A16">
          <w:rPr>
            <w:bCs/>
          </w:rPr>
          <w:t>ne</w:t>
        </w:r>
      </w:smartTag>
      <w:r w:rsidRPr="00520A16">
        <w:rPr>
          <w:bCs/>
        </w:rPr>
        <w:t xml:space="preserve">d, in listening, speaking, </w:t>
      </w:r>
      <w:proofErr w:type="gramStart"/>
      <w:r w:rsidRPr="00520A16">
        <w:rPr>
          <w:bCs/>
        </w:rPr>
        <w:t>reading</w:t>
      </w:r>
      <w:proofErr w:type="gramEnd"/>
      <w:r w:rsidRPr="00520A16">
        <w:rPr>
          <w:bCs/>
        </w:rPr>
        <w:t xml:space="preserve"> and writing a language proficiency level that is equivalent to </w:t>
      </w:r>
      <w:r w:rsidR="00A11075">
        <w:rPr>
          <w:bCs/>
        </w:rPr>
        <w:t>the</w:t>
      </w:r>
      <w:r w:rsidRPr="00520A16">
        <w:rPr>
          <w:bCs/>
        </w:rPr>
        <w:t xml:space="preserve"> passing s</w:t>
      </w:r>
      <w:r w:rsidR="00A11075">
        <w:rPr>
          <w:bCs/>
        </w:rPr>
        <w:t>tandard</w:t>
      </w:r>
      <w:r w:rsidRPr="00520A16">
        <w:rPr>
          <w:bCs/>
        </w:rPr>
        <w:t xml:space="preserve"> on the appropriate CSET: LOTE language examination. The program creates clear guideli</w:t>
      </w:r>
      <w:smartTag w:uri="urn:schemas-microsoft-com:office:smarttags" w:element="PersonName">
        <w:r w:rsidRPr="00520A16">
          <w:rPr>
            <w:bCs/>
          </w:rPr>
          <w:t>ne</w:t>
        </w:r>
      </w:smartTag>
      <w:r w:rsidRPr="00520A16">
        <w:rPr>
          <w:bCs/>
        </w:rPr>
        <w:t xml:space="preserve">s by which the candidate will be assessed. </w:t>
      </w:r>
    </w:p>
    <w:p w14:paraId="28EA85DC" w14:textId="77777777" w:rsidR="00A72CD6" w:rsidRPr="00520A16" w:rsidRDefault="00A72CD6" w:rsidP="00215566">
      <w:pPr>
        <w:jc w:val="both"/>
        <w:rPr>
          <w:bCs/>
        </w:rPr>
      </w:pPr>
    </w:p>
    <w:p w14:paraId="481E0B62" w14:textId="77777777" w:rsidR="00A72CD6" w:rsidRDefault="00A72CD6" w:rsidP="00215566">
      <w:pPr>
        <w:jc w:val="both"/>
        <w:rPr>
          <w:bCs/>
        </w:rPr>
      </w:pPr>
      <w:r w:rsidRPr="00520A16">
        <w:rPr>
          <w:bCs/>
        </w:rPr>
        <w:t>PROGRAM PLANNING QUESTIONS</w:t>
      </w:r>
    </w:p>
    <w:p w14:paraId="43A78CDD" w14:textId="77777777" w:rsidR="00A5243A" w:rsidRDefault="00A11075" w:rsidP="00A5243A">
      <w:pPr>
        <w:numPr>
          <w:ilvl w:val="1"/>
          <w:numId w:val="26"/>
        </w:numPr>
        <w:jc w:val="both"/>
        <w:rPr>
          <w:bCs/>
        </w:rPr>
      </w:pPr>
      <w:r>
        <w:rPr>
          <w:bCs/>
        </w:rPr>
        <w:t>Is the program using the CSET</w:t>
      </w:r>
      <w:r w:rsidR="00A5243A">
        <w:rPr>
          <w:bCs/>
        </w:rPr>
        <w:t xml:space="preserve">: LOTE </w:t>
      </w:r>
      <w:r>
        <w:rPr>
          <w:bCs/>
        </w:rPr>
        <w:t>examination or local assessment to meet this standard?</w:t>
      </w:r>
      <w:r w:rsidR="00464B6A">
        <w:rPr>
          <w:bCs/>
        </w:rPr>
        <w:t xml:space="preserve">  </w:t>
      </w:r>
    </w:p>
    <w:p w14:paraId="0DD3C119" w14:textId="77777777" w:rsidR="00A72CD6" w:rsidRDefault="00464B6A" w:rsidP="00A5243A">
      <w:pPr>
        <w:jc w:val="both"/>
        <w:rPr>
          <w:bCs/>
        </w:rPr>
      </w:pPr>
      <w:r>
        <w:rPr>
          <w:bCs/>
        </w:rPr>
        <w:t xml:space="preserve">If the program chooses local assessment of candidate language skills </w:t>
      </w:r>
      <w:proofErr w:type="gramStart"/>
      <w:r>
        <w:rPr>
          <w:bCs/>
        </w:rPr>
        <w:t>competencies;</w:t>
      </w:r>
      <w:proofErr w:type="gramEnd"/>
    </w:p>
    <w:p w14:paraId="0FA38226" w14:textId="77777777" w:rsidR="00A11075" w:rsidRDefault="00464B6A" w:rsidP="00A5243A">
      <w:pPr>
        <w:numPr>
          <w:ilvl w:val="1"/>
          <w:numId w:val="26"/>
        </w:numPr>
        <w:jc w:val="both"/>
        <w:rPr>
          <w:bCs/>
        </w:rPr>
      </w:pPr>
      <w:r>
        <w:rPr>
          <w:bCs/>
        </w:rPr>
        <w:t>W</w:t>
      </w:r>
      <w:r w:rsidR="00A11075">
        <w:rPr>
          <w:bCs/>
        </w:rPr>
        <w:t>hat measures are used? What are the characteristics and types of these measures?</w:t>
      </w:r>
    </w:p>
    <w:p w14:paraId="0EC4A9C6" w14:textId="77777777" w:rsidR="00A11075" w:rsidRDefault="00A72CD6" w:rsidP="00215566">
      <w:pPr>
        <w:numPr>
          <w:ilvl w:val="1"/>
          <w:numId w:val="26"/>
        </w:numPr>
        <w:jc w:val="both"/>
      </w:pPr>
      <w:r w:rsidRPr="00520A16">
        <w:rPr>
          <w:bCs/>
        </w:rPr>
        <w:t>How does the program ensure that each candidate being recommended for the authorization meets the appropriate language proficiencies?</w:t>
      </w:r>
    </w:p>
    <w:p w14:paraId="29B1CCB9" w14:textId="77777777" w:rsidR="00A11075" w:rsidRDefault="00A11075" w:rsidP="00215566">
      <w:pPr>
        <w:ind w:left="720" w:hanging="720"/>
        <w:jc w:val="both"/>
        <w:sectPr w:rsidR="00A11075" w:rsidSect="00A72CD6">
          <w:headerReference w:type="default" r:id="rId36"/>
          <w:pgSz w:w="12240" w:h="15840"/>
          <w:pgMar w:top="1440" w:right="1440" w:bottom="1440" w:left="1440" w:header="720" w:footer="720" w:gutter="0"/>
          <w:cols w:space="720"/>
          <w:docGrid w:linePitch="360"/>
        </w:sectPr>
      </w:pPr>
      <w:r>
        <w:t>6.</w:t>
      </w:r>
      <w:r w:rsidR="00A5243A">
        <w:t>4</w:t>
      </w:r>
      <w:r>
        <w:tab/>
        <w:t>How does the program assure that all candidates are assessed in a fair and equitable manner?</w:t>
      </w:r>
    </w:p>
    <w:p w14:paraId="2507AD1A" w14:textId="77777777" w:rsidR="00A72CD6" w:rsidRDefault="00A72CD6" w:rsidP="00A72CD6"/>
    <w:p w14:paraId="32887465" w14:textId="77777777" w:rsidR="00A72CD6" w:rsidRPr="00251A71" w:rsidRDefault="00A72CD6" w:rsidP="0082302B">
      <w:pPr>
        <w:pStyle w:val="Heading2"/>
      </w:pPr>
      <w:bookmarkStart w:id="112" w:name="Appendix_B"/>
      <w:bookmarkStart w:id="113" w:name="_Toc337553990"/>
      <w:bookmarkStart w:id="114" w:name="_Toc135655567"/>
      <w:r w:rsidRPr="00251A71">
        <w:t>A</w:t>
      </w:r>
      <w:r w:rsidR="006A536C" w:rsidRPr="00251A71">
        <w:t>ppendix</w:t>
      </w:r>
      <w:r w:rsidRPr="00251A71">
        <w:t xml:space="preserve"> </w:t>
      </w:r>
      <w:r w:rsidR="001E3416" w:rsidRPr="00251A71">
        <w:t>B</w:t>
      </w:r>
      <w:bookmarkEnd w:id="112"/>
      <w:r w:rsidR="00251A71">
        <w:t xml:space="preserve">: </w:t>
      </w:r>
      <w:r w:rsidRPr="00251A71">
        <w:t>Resources for the Preparation of Bilingual Educators</w:t>
      </w:r>
      <w:bookmarkEnd w:id="113"/>
      <w:bookmarkEnd w:id="114"/>
    </w:p>
    <w:p w14:paraId="37E61824" w14:textId="77777777" w:rsidR="00A72CD6" w:rsidRDefault="00A72CD6" w:rsidP="00A72CD6">
      <w:pPr>
        <w:jc w:val="center"/>
        <w:rPr>
          <w:b/>
        </w:rPr>
      </w:pPr>
    </w:p>
    <w:p w14:paraId="1138E191" w14:textId="77777777" w:rsidR="00A72CD6" w:rsidRPr="00C67426" w:rsidRDefault="00A72CD6" w:rsidP="00A72CD6">
      <w:pPr>
        <w:jc w:val="center"/>
        <w:rPr>
          <w:b/>
        </w:rPr>
      </w:pPr>
    </w:p>
    <w:p w14:paraId="4E322BE6" w14:textId="77777777" w:rsidR="00A72CD6" w:rsidRPr="009F30A3" w:rsidRDefault="00A72CD6" w:rsidP="00A72CD6">
      <w:pPr>
        <w:ind w:left="720" w:hanging="720"/>
        <w:jc w:val="both"/>
      </w:pPr>
      <w:r w:rsidRPr="009F30A3">
        <w:t xml:space="preserve">Acuña, R.  (1988). </w:t>
      </w:r>
      <w:r w:rsidRPr="009F30A3">
        <w:rPr>
          <w:i/>
          <w:iCs/>
        </w:rPr>
        <w:t>Occupied America:  A History of Chicanos.</w:t>
      </w:r>
      <w:r w:rsidRPr="009F30A3">
        <w:t xml:space="preserve">  New York:  Harper Collins Publishers.</w:t>
      </w:r>
    </w:p>
    <w:p w14:paraId="75CB078B" w14:textId="77777777" w:rsidR="00A72CD6" w:rsidRDefault="00A72CD6" w:rsidP="00A72CD6">
      <w:pPr>
        <w:ind w:left="720" w:hanging="720"/>
        <w:rPr>
          <w:rFonts w:eastAsia="Arial Unicode MS"/>
          <w:color w:val="000000"/>
        </w:rPr>
      </w:pPr>
    </w:p>
    <w:p w14:paraId="08ED5C68" w14:textId="77777777" w:rsidR="00A72CD6" w:rsidRDefault="00A72CD6" w:rsidP="00A72CD6">
      <w:pPr>
        <w:ind w:left="720" w:hanging="720"/>
      </w:pPr>
      <w:r w:rsidRPr="004A759E">
        <w:t xml:space="preserve">Aguila, Veronica. </w:t>
      </w:r>
      <w:r w:rsidRPr="00906FA6">
        <w:rPr>
          <w:rFonts w:ascii="Calibri" w:hAnsi="Calibri"/>
          <w:sz w:val="22"/>
          <w:szCs w:val="22"/>
        </w:rPr>
        <w:t>(In Press)</w:t>
      </w:r>
      <w:r w:rsidRPr="00DF05F6">
        <w:t xml:space="preserve"> </w:t>
      </w:r>
      <w:r w:rsidRPr="004A759E">
        <w:t>Schooling English Learners: Contexts and Challe</w:t>
      </w:r>
      <w:r w:rsidRPr="004A759E">
        <w:rPr>
          <w:color w:val="000080"/>
        </w:rPr>
        <w:t>n</w:t>
      </w:r>
      <w:r>
        <w:t xml:space="preserve">ges. </w:t>
      </w:r>
      <w:r w:rsidRPr="004A759E">
        <w:rPr>
          <w:i/>
          <w:iCs/>
        </w:rPr>
        <w:t>Educating English Learners: Research-Based Approaches</w:t>
      </w:r>
      <w:r w:rsidRPr="004A759E">
        <w:t>. Sacramento: California Department of Education. 2009.</w:t>
      </w:r>
    </w:p>
    <w:p w14:paraId="14FEAD78" w14:textId="77777777" w:rsidR="00A72CD6" w:rsidRPr="009F30A3" w:rsidRDefault="00A72CD6" w:rsidP="00A72CD6">
      <w:pPr>
        <w:ind w:left="720" w:hanging="720"/>
        <w:rPr>
          <w:rFonts w:eastAsia="Arial Unicode MS"/>
          <w:color w:val="000000"/>
        </w:rPr>
      </w:pPr>
    </w:p>
    <w:p w14:paraId="0951841A" w14:textId="77777777" w:rsidR="00A72CD6" w:rsidRPr="009F30A3" w:rsidRDefault="00A72CD6" w:rsidP="00A72CD6">
      <w:pPr>
        <w:ind w:left="720" w:hanging="720"/>
        <w:jc w:val="both"/>
      </w:pPr>
      <w:r w:rsidRPr="009F30A3">
        <w:rPr>
          <w:lang w:val="es-MX"/>
        </w:rPr>
        <w:t xml:space="preserve">Anaya, R.  (1972).  </w:t>
      </w:r>
      <w:r w:rsidRPr="009F30A3">
        <w:rPr>
          <w:i/>
          <w:iCs/>
          <w:lang w:val="es-MX"/>
        </w:rPr>
        <w:t>Bless Me, Ultima</w:t>
      </w:r>
      <w:r w:rsidRPr="009F30A3">
        <w:rPr>
          <w:lang w:val="es-MX"/>
        </w:rPr>
        <w:t xml:space="preserve">.  </w:t>
      </w:r>
      <w:r w:rsidRPr="009F30A3">
        <w:t>Berkeley:  Tonatiuh-Quinto Sol International, Inc.</w:t>
      </w:r>
    </w:p>
    <w:p w14:paraId="17459311" w14:textId="77777777" w:rsidR="00A72CD6" w:rsidRPr="009F30A3" w:rsidRDefault="00A72CD6" w:rsidP="00A72CD6">
      <w:pPr>
        <w:ind w:left="720" w:hanging="720"/>
        <w:rPr>
          <w:rFonts w:eastAsia="Arial Unicode MS"/>
          <w:color w:val="000000"/>
        </w:rPr>
      </w:pPr>
    </w:p>
    <w:p w14:paraId="6327C0CD" w14:textId="77777777" w:rsidR="00A72CD6" w:rsidRPr="009F30A3" w:rsidRDefault="00A72CD6" w:rsidP="00A72CD6">
      <w:pPr>
        <w:ind w:left="720" w:hanging="720"/>
      </w:pPr>
      <w:r w:rsidRPr="009F30A3">
        <w:t xml:space="preserve">Baker, C. (2006). </w:t>
      </w:r>
      <w:r w:rsidRPr="004A759E">
        <w:rPr>
          <w:i/>
        </w:rPr>
        <w:t xml:space="preserve">Foundations of </w:t>
      </w:r>
      <w:r>
        <w:rPr>
          <w:i/>
        </w:rPr>
        <w:t>B</w:t>
      </w:r>
      <w:r w:rsidRPr="004A759E">
        <w:rPr>
          <w:i/>
        </w:rPr>
        <w:t xml:space="preserve">ilingual </w:t>
      </w:r>
      <w:r>
        <w:rPr>
          <w:i/>
        </w:rPr>
        <w:t>E</w:t>
      </w:r>
      <w:r w:rsidRPr="004A759E">
        <w:rPr>
          <w:i/>
        </w:rPr>
        <w:t xml:space="preserve">ducation and </w:t>
      </w:r>
      <w:r>
        <w:rPr>
          <w:i/>
        </w:rPr>
        <w:t>B</w:t>
      </w:r>
      <w:r w:rsidRPr="004A759E">
        <w:rPr>
          <w:i/>
        </w:rPr>
        <w:t>ilingualism</w:t>
      </w:r>
      <w:r w:rsidRPr="009F30A3">
        <w:t>. Buffalo, NY: Multilingual Matters.</w:t>
      </w:r>
    </w:p>
    <w:p w14:paraId="071C5935" w14:textId="77777777" w:rsidR="00A72CD6" w:rsidRPr="009F30A3" w:rsidRDefault="00A72CD6" w:rsidP="00A72CD6">
      <w:pPr>
        <w:autoSpaceDE w:val="0"/>
        <w:autoSpaceDN w:val="0"/>
        <w:adjustRightInd w:val="0"/>
        <w:ind w:left="720" w:hanging="720"/>
        <w:rPr>
          <w:rFonts w:eastAsia="Calibri"/>
          <w:highlight w:val="yellow"/>
        </w:rPr>
      </w:pPr>
    </w:p>
    <w:p w14:paraId="65970CD6" w14:textId="77777777" w:rsidR="00A72CD6" w:rsidRPr="009F30A3" w:rsidRDefault="00A72CD6" w:rsidP="00A72CD6">
      <w:pPr>
        <w:autoSpaceDE w:val="0"/>
        <w:autoSpaceDN w:val="0"/>
        <w:adjustRightInd w:val="0"/>
        <w:ind w:left="720" w:hanging="720"/>
        <w:rPr>
          <w:rFonts w:eastAsia="Calibri"/>
        </w:rPr>
      </w:pPr>
      <w:r w:rsidRPr="00793322">
        <w:rPr>
          <w:rFonts w:eastAsia="Calibri"/>
        </w:rPr>
        <w:t xml:space="preserve">Bankston, C., &amp; Zhou, M. (1995). Effects of </w:t>
      </w:r>
      <w:r>
        <w:rPr>
          <w:rFonts w:eastAsia="Calibri"/>
        </w:rPr>
        <w:t>M</w:t>
      </w:r>
      <w:r w:rsidRPr="00793322">
        <w:rPr>
          <w:rFonts w:eastAsia="Calibri"/>
        </w:rPr>
        <w:t xml:space="preserve">inority-language </w:t>
      </w:r>
      <w:r>
        <w:rPr>
          <w:rFonts w:eastAsia="Calibri"/>
        </w:rPr>
        <w:t>L</w:t>
      </w:r>
      <w:r w:rsidRPr="00793322">
        <w:rPr>
          <w:rFonts w:eastAsia="Calibri"/>
        </w:rPr>
        <w:t xml:space="preserve">iteracy on the </w:t>
      </w:r>
      <w:r>
        <w:rPr>
          <w:rFonts w:eastAsia="Calibri"/>
        </w:rPr>
        <w:t>A</w:t>
      </w:r>
      <w:r w:rsidRPr="00793322">
        <w:rPr>
          <w:rFonts w:eastAsia="Calibri"/>
        </w:rPr>
        <w:t xml:space="preserve">cademic </w:t>
      </w:r>
      <w:r>
        <w:rPr>
          <w:rFonts w:eastAsia="Calibri"/>
        </w:rPr>
        <w:t>A</w:t>
      </w:r>
      <w:r w:rsidRPr="00793322">
        <w:rPr>
          <w:rFonts w:eastAsia="Calibri"/>
        </w:rPr>
        <w:t xml:space="preserve">chievement of Vietnamese in New Orleans. </w:t>
      </w:r>
      <w:r w:rsidRPr="00793322">
        <w:rPr>
          <w:rFonts w:eastAsia="Calibri"/>
          <w:i/>
          <w:iCs/>
        </w:rPr>
        <w:t>Sociology of Education</w:t>
      </w:r>
      <w:r w:rsidRPr="00793322">
        <w:rPr>
          <w:rFonts w:eastAsia="Calibri"/>
        </w:rPr>
        <w:t xml:space="preserve">, </w:t>
      </w:r>
      <w:r w:rsidRPr="00793322">
        <w:rPr>
          <w:rFonts w:eastAsia="Calibri"/>
          <w:i/>
          <w:iCs/>
        </w:rPr>
        <w:t>68</w:t>
      </w:r>
      <w:r w:rsidRPr="00793322">
        <w:rPr>
          <w:rFonts w:eastAsia="Calibri"/>
        </w:rPr>
        <w:t>, 1–17.</w:t>
      </w:r>
    </w:p>
    <w:p w14:paraId="6ED44BA0" w14:textId="77777777" w:rsidR="00A72CD6" w:rsidRPr="009F30A3" w:rsidRDefault="00A72CD6" w:rsidP="00A72CD6">
      <w:pPr>
        <w:ind w:left="720" w:hanging="720"/>
        <w:rPr>
          <w:rFonts w:eastAsia="Arial Unicode MS"/>
          <w:color w:val="000000"/>
        </w:rPr>
      </w:pPr>
    </w:p>
    <w:p w14:paraId="616629D1" w14:textId="77777777" w:rsidR="00A72CD6" w:rsidRPr="009F30A3" w:rsidRDefault="00A72CD6" w:rsidP="00A72CD6">
      <w:pPr>
        <w:ind w:left="720" w:hanging="720"/>
      </w:pPr>
      <w:r w:rsidRPr="009F30A3">
        <w:t xml:space="preserve">Beykont, Z., Editor. (2000). </w:t>
      </w:r>
      <w:r w:rsidRPr="009F30A3">
        <w:rPr>
          <w:i/>
          <w:iCs/>
        </w:rPr>
        <w:t>Lifting Every Voice: Pedagogy and Politics of Bilingualism</w:t>
      </w:r>
      <w:r w:rsidRPr="009F30A3">
        <w:t xml:space="preserve">.  MA: </w:t>
      </w:r>
      <w:proofErr w:type="gramStart"/>
      <w:r w:rsidRPr="009F30A3">
        <w:t>Harvard  Publishing</w:t>
      </w:r>
      <w:proofErr w:type="gramEnd"/>
      <w:r w:rsidRPr="009F30A3">
        <w:t xml:space="preserve"> Group.</w:t>
      </w:r>
    </w:p>
    <w:p w14:paraId="275F17F6" w14:textId="77777777" w:rsidR="00A72CD6" w:rsidRPr="009F30A3" w:rsidRDefault="00A72CD6" w:rsidP="00A72CD6">
      <w:pPr>
        <w:ind w:firstLine="720"/>
      </w:pPr>
    </w:p>
    <w:p w14:paraId="0626F477" w14:textId="77777777" w:rsidR="00A72CD6" w:rsidRPr="009F30A3" w:rsidRDefault="00A72CD6" w:rsidP="00A72CD6">
      <w:pPr>
        <w:autoSpaceDE w:val="0"/>
        <w:autoSpaceDN w:val="0"/>
        <w:adjustRightInd w:val="0"/>
        <w:ind w:left="720" w:hanging="720"/>
        <w:rPr>
          <w:rFonts w:eastAsia="Calibri"/>
        </w:rPr>
      </w:pPr>
      <w:r w:rsidRPr="00793322">
        <w:rPr>
          <w:rFonts w:eastAsia="Calibri"/>
        </w:rPr>
        <w:t xml:space="preserve">Boyer, J., &amp; Baptiste, H., Jr. (1996). The crisis in teacher education in America: Issues of recruitment and retention of culturally different (minority) teachers. In J. Sikula (Ed.), </w:t>
      </w:r>
      <w:r w:rsidRPr="00793322">
        <w:rPr>
          <w:rFonts w:eastAsia="Calibri"/>
          <w:i/>
          <w:iCs/>
        </w:rPr>
        <w:t xml:space="preserve">Handbook of research on teacher education </w:t>
      </w:r>
      <w:r w:rsidRPr="00793322">
        <w:rPr>
          <w:rFonts w:eastAsia="Calibri"/>
        </w:rPr>
        <w:t>(2nd ed, pp. 779–794). New York: Schuster Macmillan.</w:t>
      </w:r>
    </w:p>
    <w:p w14:paraId="1F7D2045" w14:textId="77777777" w:rsidR="00A72CD6" w:rsidRPr="009F30A3" w:rsidRDefault="00A72CD6" w:rsidP="00A72CD6">
      <w:pPr>
        <w:autoSpaceDE w:val="0"/>
        <w:autoSpaceDN w:val="0"/>
        <w:adjustRightInd w:val="0"/>
        <w:ind w:left="720" w:hanging="720"/>
      </w:pPr>
    </w:p>
    <w:p w14:paraId="1E4BC2E5" w14:textId="77777777" w:rsidR="00A72CD6" w:rsidRPr="009F30A3" w:rsidRDefault="00A72CD6" w:rsidP="00A72CD6">
      <w:pPr>
        <w:pStyle w:val="References"/>
        <w:tabs>
          <w:tab w:val="clear" w:pos="720"/>
          <w:tab w:val="left" w:pos="450"/>
        </w:tabs>
        <w:rPr>
          <w:snapToGrid w:val="0"/>
          <w:szCs w:val="24"/>
        </w:rPr>
      </w:pPr>
      <w:r w:rsidRPr="009F30A3">
        <w:rPr>
          <w:szCs w:val="24"/>
        </w:rPr>
        <w:t xml:space="preserve">Brisk, M.E. (1998). </w:t>
      </w:r>
      <w:r w:rsidRPr="009F30A3">
        <w:rPr>
          <w:i/>
          <w:iCs/>
          <w:szCs w:val="24"/>
        </w:rPr>
        <w:t>Bilingual Education: From Compensatory to Quality Schooling</w:t>
      </w:r>
      <w:r w:rsidRPr="009F30A3">
        <w:rPr>
          <w:szCs w:val="24"/>
        </w:rPr>
        <w:t>. New Jersey: Earlbaum.</w:t>
      </w:r>
      <w:r w:rsidRPr="009F30A3">
        <w:rPr>
          <w:snapToGrid w:val="0"/>
          <w:szCs w:val="24"/>
        </w:rPr>
        <w:t xml:space="preserve"> </w:t>
      </w:r>
    </w:p>
    <w:p w14:paraId="5B809E23" w14:textId="77777777" w:rsidR="00A72CD6" w:rsidRPr="009F30A3" w:rsidRDefault="00A72CD6" w:rsidP="00A72CD6">
      <w:pPr>
        <w:ind w:left="720" w:hanging="720"/>
        <w:jc w:val="both"/>
      </w:pPr>
      <w:r w:rsidRPr="009F30A3">
        <w:t xml:space="preserve">Burns, A.F. (1993).  </w:t>
      </w:r>
      <w:r w:rsidRPr="009F30A3">
        <w:rPr>
          <w:i/>
          <w:iCs/>
        </w:rPr>
        <w:t>Maya in Exile:  Guatemalans in Florida.</w:t>
      </w:r>
      <w:r w:rsidRPr="009F30A3">
        <w:t xml:space="preserve">  Philadelphia: Temple University Press.</w:t>
      </w:r>
    </w:p>
    <w:p w14:paraId="703F8179" w14:textId="77777777" w:rsidR="00A72CD6" w:rsidRPr="009F30A3" w:rsidRDefault="00A72CD6" w:rsidP="00A72CD6">
      <w:pPr>
        <w:ind w:left="720" w:hanging="720"/>
        <w:jc w:val="both"/>
      </w:pPr>
    </w:p>
    <w:p w14:paraId="4F56FA37" w14:textId="77777777" w:rsidR="00A72CD6" w:rsidRPr="009F30A3" w:rsidRDefault="00A72CD6" w:rsidP="00A72CD6">
      <w:pPr>
        <w:pStyle w:val="References"/>
        <w:tabs>
          <w:tab w:val="clear" w:pos="720"/>
          <w:tab w:val="left" w:pos="450"/>
        </w:tabs>
        <w:rPr>
          <w:snapToGrid w:val="0"/>
          <w:szCs w:val="24"/>
        </w:rPr>
      </w:pPr>
      <w:r w:rsidRPr="009F30A3">
        <w:rPr>
          <w:snapToGrid w:val="0"/>
          <w:szCs w:val="24"/>
        </w:rPr>
        <w:t xml:space="preserve">Cadiero-Kaplan, K. (2004). </w:t>
      </w:r>
      <w:r w:rsidRPr="004A759E">
        <w:rPr>
          <w:i/>
          <w:snapToGrid w:val="0"/>
          <w:szCs w:val="24"/>
        </w:rPr>
        <w:t xml:space="preserve">The </w:t>
      </w:r>
      <w:r>
        <w:rPr>
          <w:i/>
          <w:snapToGrid w:val="0"/>
          <w:szCs w:val="24"/>
        </w:rPr>
        <w:t>L</w:t>
      </w:r>
      <w:r w:rsidRPr="004A759E">
        <w:rPr>
          <w:i/>
          <w:snapToGrid w:val="0"/>
          <w:szCs w:val="24"/>
        </w:rPr>
        <w:t xml:space="preserve">iteracy </w:t>
      </w:r>
      <w:r>
        <w:rPr>
          <w:i/>
          <w:snapToGrid w:val="0"/>
          <w:szCs w:val="24"/>
        </w:rPr>
        <w:t>C</w:t>
      </w:r>
      <w:r w:rsidRPr="004A759E">
        <w:rPr>
          <w:i/>
          <w:snapToGrid w:val="0"/>
          <w:szCs w:val="24"/>
        </w:rPr>
        <w:t xml:space="preserve">urriculum and </w:t>
      </w:r>
      <w:r>
        <w:rPr>
          <w:i/>
          <w:snapToGrid w:val="0"/>
          <w:szCs w:val="24"/>
        </w:rPr>
        <w:t>B</w:t>
      </w:r>
      <w:r w:rsidRPr="004A759E">
        <w:rPr>
          <w:i/>
          <w:snapToGrid w:val="0"/>
          <w:szCs w:val="24"/>
        </w:rPr>
        <w:t xml:space="preserve">ilingual </w:t>
      </w:r>
      <w:r>
        <w:rPr>
          <w:i/>
          <w:snapToGrid w:val="0"/>
          <w:szCs w:val="24"/>
        </w:rPr>
        <w:t>E</w:t>
      </w:r>
      <w:r w:rsidRPr="004A759E">
        <w:rPr>
          <w:i/>
          <w:snapToGrid w:val="0"/>
          <w:szCs w:val="24"/>
        </w:rPr>
        <w:t xml:space="preserve">ducation: A </w:t>
      </w:r>
      <w:r>
        <w:rPr>
          <w:i/>
          <w:snapToGrid w:val="0"/>
          <w:szCs w:val="24"/>
        </w:rPr>
        <w:t>C</w:t>
      </w:r>
      <w:r w:rsidRPr="004A759E">
        <w:rPr>
          <w:i/>
          <w:snapToGrid w:val="0"/>
          <w:szCs w:val="24"/>
        </w:rPr>
        <w:t xml:space="preserve">ritical </w:t>
      </w:r>
      <w:r>
        <w:rPr>
          <w:i/>
          <w:snapToGrid w:val="0"/>
          <w:szCs w:val="24"/>
        </w:rPr>
        <w:t>E</w:t>
      </w:r>
      <w:r w:rsidRPr="004A759E">
        <w:rPr>
          <w:i/>
          <w:snapToGrid w:val="0"/>
          <w:szCs w:val="24"/>
        </w:rPr>
        <w:t xml:space="preserve">xamination. </w:t>
      </w:r>
      <w:r w:rsidRPr="009F30A3">
        <w:rPr>
          <w:snapToGrid w:val="0"/>
          <w:szCs w:val="24"/>
        </w:rPr>
        <w:t>New York: Peter Lang</w:t>
      </w:r>
    </w:p>
    <w:p w14:paraId="56C9E22D" w14:textId="77777777" w:rsidR="00A72CD6" w:rsidRDefault="00A72CD6" w:rsidP="00215566">
      <w:pPr>
        <w:ind w:left="720" w:hanging="720"/>
      </w:pPr>
      <w:r>
        <w:t xml:space="preserve">California Dept. of Education, 2009. </w:t>
      </w:r>
      <w:r w:rsidRPr="00906FA6">
        <w:rPr>
          <w:rFonts w:ascii="Calibri" w:hAnsi="Calibri"/>
          <w:sz w:val="22"/>
          <w:szCs w:val="22"/>
        </w:rPr>
        <w:t>(In Press)</w:t>
      </w:r>
      <w:r w:rsidRPr="00DF05F6">
        <w:t xml:space="preserve"> </w:t>
      </w:r>
      <w:r w:rsidRPr="004A759E">
        <w:rPr>
          <w:i/>
          <w:iCs/>
        </w:rPr>
        <w:t>Improving Education for English Learners: Research-Based</w:t>
      </w:r>
      <w:r>
        <w:t xml:space="preserve"> </w:t>
      </w:r>
      <w:r w:rsidRPr="00985E4F">
        <w:rPr>
          <w:i/>
        </w:rPr>
        <w:t>Approaches.</w:t>
      </w:r>
      <w:r>
        <w:t xml:space="preserve"> Sacramento, California Department of Education</w:t>
      </w:r>
    </w:p>
    <w:p w14:paraId="19F6BC28" w14:textId="77777777" w:rsidR="00A72CD6" w:rsidRDefault="00A72CD6" w:rsidP="00A72CD6">
      <w:pPr>
        <w:ind w:left="720" w:hanging="720"/>
      </w:pPr>
    </w:p>
    <w:p w14:paraId="299CFBE9" w14:textId="77777777" w:rsidR="00A72CD6" w:rsidRPr="009F30A3" w:rsidRDefault="00A72CD6" w:rsidP="00A72CD6">
      <w:pPr>
        <w:ind w:left="720" w:hanging="720"/>
      </w:pPr>
      <w:r w:rsidRPr="009F30A3">
        <w:t xml:space="preserve">California Law: California Education Code (2009). Sections 300-313. Accessed at: </w:t>
      </w:r>
      <w:hyperlink r:id="rId37" w:history="1">
        <w:r w:rsidRPr="009F30A3">
          <w:rPr>
            <w:rStyle w:val="Hyperlink"/>
          </w:rPr>
          <w:t>http://www.leginfo.ca.gov/cgi-bin/calawquery?codesection=edc&amp;codebody=&amp;hits=20</w:t>
        </w:r>
      </w:hyperlink>
      <w:r w:rsidRPr="009F30A3">
        <w:t xml:space="preserve"> on March 6, 2009.</w:t>
      </w:r>
    </w:p>
    <w:p w14:paraId="0678E806" w14:textId="77777777" w:rsidR="00A72CD6" w:rsidRPr="009F30A3" w:rsidRDefault="00A72CD6" w:rsidP="00A72CD6">
      <w:pPr>
        <w:ind w:left="720" w:hanging="720"/>
      </w:pPr>
    </w:p>
    <w:p w14:paraId="6769E181" w14:textId="77777777" w:rsidR="00A72CD6" w:rsidRPr="009F30A3" w:rsidRDefault="00A72CD6" w:rsidP="00A72CD6">
      <w:pPr>
        <w:ind w:left="720" w:hanging="720"/>
      </w:pPr>
      <w:r w:rsidRPr="009F30A3">
        <w:t xml:space="preserve">Caplan, N., Choy, M. H., &amp; Whitmore, J. K. (1991).  </w:t>
      </w:r>
      <w:r w:rsidRPr="009F30A3">
        <w:rPr>
          <w:i/>
        </w:rPr>
        <w:t xml:space="preserve">Children of the </w:t>
      </w:r>
      <w:r>
        <w:rPr>
          <w:i/>
        </w:rPr>
        <w:t>B</w:t>
      </w:r>
      <w:r w:rsidRPr="009F30A3">
        <w:rPr>
          <w:i/>
        </w:rPr>
        <w:t xml:space="preserve">oat </w:t>
      </w:r>
      <w:r>
        <w:rPr>
          <w:i/>
        </w:rPr>
        <w:t>P</w:t>
      </w:r>
      <w:r w:rsidRPr="009F30A3">
        <w:rPr>
          <w:i/>
        </w:rPr>
        <w:t xml:space="preserve">eople: A </w:t>
      </w:r>
      <w:r>
        <w:rPr>
          <w:i/>
        </w:rPr>
        <w:t>S</w:t>
      </w:r>
      <w:r w:rsidRPr="009F30A3">
        <w:rPr>
          <w:i/>
        </w:rPr>
        <w:t xml:space="preserve">tudy of </w:t>
      </w:r>
      <w:r>
        <w:rPr>
          <w:i/>
        </w:rPr>
        <w:t>E</w:t>
      </w:r>
      <w:r w:rsidRPr="009F30A3">
        <w:rPr>
          <w:i/>
        </w:rPr>
        <w:t xml:space="preserve">ducational </w:t>
      </w:r>
      <w:r>
        <w:rPr>
          <w:i/>
        </w:rPr>
        <w:t>S</w:t>
      </w:r>
      <w:r w:rsidRPr="009F30A3">
        <w:rPr>
          <w:i/>
        </w:rPr>
        <w:t>uccess.</w:t>
      </w:r>
      <w:r w:rsidRPr="009F30A3">
        <w:t xml:space="preserve">  Ann Harbor: University of Michigan Press.</w:t>
      </w:r>
    </w:p>
    <w:p w14:paraId="63FCFBF6" w14:textId="77777777" w:rsidR="00A72CD6" w:rsidRPr="009F30A3" w:rsidRDefault="00A72CD6" w:rsidP="00A72CD6">
      <w:pPr>
        <w:ind w:left="720" w:hanging="720"/>
      </w:pPr>
    </w:p>
    <w:p w14:paraId="7B5AEDFF" w14:textId="77777777" w:rsidR="00A72CD6" w:rsidRPr="009F30A3" w:rsidRDefault="00A72CD6" w:rsidP="00A72CD6">
      <w:pPr>
        <w:autoSpaceDE w:val="0"/>
        <w:autoSpaceDN w:val="0"/>
        <w:adjustRightInd w:val="0"/>
        <w:ind w:left="720" w:hanging="720"/>
        <w:rPr>
          <w:rFonts w:eastAsia="Calibri"/>
        </w:rPr>
      </w:pPr>
      <w:r w:rsidRPr="00793322">
        <w:rPr>
          <w:rFonts w:eastAsia="Calibri"/>
        </w:rPr>
        <w:lastRenderedPageBreak/>
        <w:t xml:space="preserve">Caplan, N., Whitmore, J. K., &amp; Choy, M. (1989). </w:t>
      </w:r>
      <w:r w:rsidRPr="006E0105">
        <w:rPr>
          <w:rFonts w:eastAsia="Calibri"/>
          <w:i/>
        </w:rPr>
        <w:t xml:space="preserve">The boat people and </w:t>
      </w:r>
      <w:proofErr w:type="gramStart"/>
      <w:r w:rsidRPr="006E0105">
        <w:rPr>
          <w:rFonts w:eastAsia="Calibri"/>
          <w:i/>
        </w:rPr>
        <w:t>achievement</w:t>
      </w:r>
      <w:proofErr w:type="gramEnd"/>
      <w:r w:rsidRPr="006E0105">
        <w:rPr>
          <w:rFonts w:eastAsia="Calibri"/>
          <w:i/>
        </w:rPr>
        <w:t xml:space="preserve"> in America: A study of family life, hard work, and cultural values</w:t>
      </w:r>
      <w:r w:rsidRPr="00793322">
        <w:rPr>
          <w:rFonts w:eastAsia="Calibri"/>
        </w:rPr>
        <w:t>. Ann Arbor: University of Michigan Press.</w:t>
      </w:r>
    </w:p>
    <w:p w14:paraId="6A694379" w14:textId="77777777" w:rsidR="00A72CD6" w:rsidRPr="009F30A3" w:rsidRDefault="00A72CD6" w:rsidP="00A72CD6">
      <w:pPr>
        <w:ind w:left="720" w:hanging="720"/>
      </w:pPr>
    </w:p>
    <w:p w14:paraId="634E7244" w14:textId="77777777" w:rsidR="00A72CD6" w:rsidRPr="009F30A3" w:rsidRDefault="00A72CD6" w:rsidP="00A72CD6">
      <w:pPr>
        <w:ind w:left="720" w:hanging="720"/>
      </w:pPr>
      <w:r w:rsidRPr="009F30A3">
        <w:t xml:space="preserve">Celce-Murcia, M. &amp; Olshtain, E. (2000).  </w:t>
      </w:r>
      <w:r w:rsidRPr="009F30A3">
        <w:rPr>
          <w:i/>
          <w:iCs/>
        </w:rPr>
        <w:t>Discourse and Context in Language Teaching: A Guide for Language Teachers</w:t>
      </w:r>
      <w:r w:rsidRPr="009F30A3">
        <w:t>. Cambridge University Press, UK.</w:t>
      </w:r>
    </w:p>
    <w:p w14:paraId="53827777" w14:textId="77777777" w:rsidR="00A72CD6" w:rsidRPr="009F30A3" w:rsidRDefault="00A72CD6" w:rsidP="00A72CD6">
      <w:pPr>
        <w:ind w:left="720" w:hanging="720"/>
      </w:pPr>
    </w:p>
    <w:p w14:paraId="4F2DE520" w14:textId="77777777" w:rsidR="00A72CD6" w:rsidRPr="009F30A3" w:rsidRDefault="00A72CD6" w:rsidP="00A72CD6">
      <w:pPr>
        <w:ind w:left="720" w:hanging="720"/>
      </w:pPr>
      <w:r w:rsidRPr="009F30A3">
        <w:t xml:space="preserve">Chang, E. &amp; Diaz-Veizades, J. (1999).  </w:t>
      </w:r>
      <w:r w:rsidRPr="006E0105">
        <w:rPr>
          <w:i/>
        </w:rPr>
        <w:t>Ethnic P</w:t>
      </w:r>
      <w:r w:rsidRPr="009F30A3">
        <w:rPr>
          <w:i/>
        </w:rPr>
        <w:t xml:space="preserve">eace in the American </w:t>
      </w:r>
      <w:r>
        <w:rPr>
          <w:i/>
        </w:rPr>
        <w:t>C</w:t>
      </w:r>
      <w:r w:rsidRPr="009F30A3">
        <w:rPr>
          <w:i/>
        </w:rPr>
        <w:t>ity</w:t>
      </w:r>
      <w:r w:rsidRPr="009F30A3">
        <w:t>.  New York, NY: New York University Press.</w:t>
      </w:r>
    </w:p>
    <w:p w14:paraId="2EBBCEBF" w14:textId="77777777" w:rsidR="00A72CD6" w:rsidRPr="009F30A3" w:rsidRDefault="00A72CD6" w:rsidP="00A72CD6">
      <w:pPr>
        <w:ind w:left="720" w:hanging="720"/>
      </w:pPr>
    </w:p>
    <w:p w14:paraId="75F75238" w14:textId="77777777" w:rsidR="00A72CD6" w:rsidRPr="009F30A3" w:rsidRDefault="00A72CD6" w:rsidP="00A72CD6">
      <w:pPr>
        <w:ind w:left="720" w:hanging="720"/>
      </w:pPr>
      <w:r w:rsidRPr="009F30A3">
        <w:t xml:space="preserve">Cheng, L. &amp; Yang, P. (2000).  In M. Zhou &amp; J. Gatewood (Eds.).  </w:t>
      </w:r>
      <w:r w:rsidRPr="009F30A3">
        <w:rPr>
          <w:i/>
        </w:rPr>
        <w:t>Contemporary Asian America: A multidisciplinary reader.</w:t>
      </w:r>
      <w:r w:rsidRPr="009F30A3">
        <w:t xml:space="preserve">  New York, NY: New York University Press.</w:t>
      </w:r>
    </w:p>
    <w:p w14:paraId="2C1A3092" w14:textId="77777777" w:rsidR="00A72CD6" w:rsidRPr="009F30A3" w:rsidRDefault="00A72CD6" w:rsidP="00A72CD6">
      <w:pPr>
        <w:ind w:left="720" w:hanging="720"/>
      </w:pPr>
    </w:p>
    <w:p w14:paraId="03C61F31" w14:textId="77777777" w:rsidR="00A72CD6" w:rsidRPr="009F30A3" w:rsidRDefault="00A72CD6" w:rsidP="00A72CD6">
      <w:pPr>
        <w:ind w:left="720" w:hanging="720"/>
      </w:pPr>
      <w:r w:rsidRPr="009F30A3">
        <w:t xml:space="preserve">Chun, K. T. (1980).  The </w:t>
      </w:r>
      <w:r>
        <w:t>M</w:t>
      </w:r>
      <w:r w:rsidRPr="009F30A3">
        <w:t xml:space="preserve">yth of Asian American </w:t>
      </w:r>
      <w:r>
        <w:t>S</w:t>
      </w:r>
      <w:r w:rsidRPr="009F30A3">
        <w:t xml:space="preserve">uccess and its </w:t>
      </w:r>
      <w:r>
        <w:t>E</w:t>
      </w:r>
      <w:r w:rsidRPr="009F30A3">
        <w:t xml:space="preserve">ducational </w:t>
      </w:r>
      <w:r>
        <w:t>R</w:t>
      </w:r>
      <w:r w:rsidRPr="009F30A3">
        <w:t xml:space="preserve">amifications. </w:t>
      </w:r>
      <w:r w:rsidRPr="009F30A3">
        <w:rPr>
          <w:i/>
        </w:rPr>
        <w:t>IRCD Bulletin</w:t>
      </w:r>
      <w:r w:rsidRPr="009F30A3">
        <w:t xml:space="preserve"> (Winter/Spring, 1980): 1-12.  Teachers College, Columbia University: Clearinghouse on Urban Education.</w:t>
      </w:r>
    </w:p>
    <w:p w14:paraId="62A75F95" w14:textId="77777777" w:rsidR="00A72CD6" w:rsidRPr="009F30A3" w:rsidRDefault="00A72CD6" w:rsidP="00A72CD6">
      <w:pPr>
        <w:ind w:left="720" w:hanging="720"/>
      </w:pPr>
    </w:p>
    <w:p w14:paraId="4A0ACD97" w14:textId="77777777" w:rsidR="00A72CD6" w:rsidRPr="009F30A3" w:rsidRDefault="00A72CD6" w:rsidP="00A72CD6">
      <w:pPr>
        <w:ind w:left="720" w:hanging="720"/>
      </w:pPr>
      <w:r w:rsidRPr="009F30A3">
        <w:t xml:space="preserve">Corson, D. (1998). </w:t>
      </w:r>
      <w:r w:rsidRPr="009F30A3">
        <w:rPr>
          <w:i/>
          <w:iCs/>
        </w:rPr>
        <w:t>Language Policies in Schools.</w:t>
      </w:r>
      <w:r w:rsidRPr="009F30A3">
        <w:t xml:space="preserve"> England: Multilingual Matters.</w:t>
      </w:r>
    </w:p>
    <w:p w14:paraId="1B7DFA5E" w14:textId="77777777" w:rsidR="00A72CD6" w:rsidRPr="009F30A3" w:rsidRDefault="00A72CD6" w:rsidP="00A72CD6"/>
    <w:p w14:paraId="4AFA99D3" w14:textId="77777777" w:rsidR="00A72CD6" w:rsidRPr="00693874" w:rsidRDefault="00A72CD6" w:rsidP="00A72CD6">
      <w:pPr>
        <w:autoSpaceDE w:val="0"/>
        <w:autoSpaceDN w:val="0"/>
        <w:adjustRightInd w:val="0"/>
        <w:ind w:left="720" w:hanging="720"/>
      </w:pPr>
      <w:r w:rsidRPr="00693874">
        <w:t>Crawford, J. (1989).</w:t>
      </w:r>
      <w:r>
        <w:t xml:space="preserve"> </w:t>
      </w:r>
      <w:r w:rsidRPr="00693874">
        <w:rPr>
          <w:i/>
        </w:rPr>
        <w:t xml:space="preserve">Bilingual education: </w:t>
      </w:r>
      <w:r>
        <w:rPr>
          <w:i/>
        </w:rPr>
        <w:t>H</w:t>
      </w:r>
      <w:r w:rsidRPr="00693874">
        <w:rPr>
          <w:i/>
        </w:rPr>
        <w:t>istory,</w:t>
      </w:r>
      <w:r>
        <w:rPr>
          <w:i/>
        </w:rPr>
        <w:t xml:space="preserve"> P</w:t>
      </w:r>
      <w:r w:rsidRPr="00693874">
        <w:rPr>
          <w:i/>
        </w:rPr>
        <w:t xml:space="preserve">olitics, </w:t>
      </w:r>
      <w:r>
        <w:rPr>
          <w:i/>
        </w:rPr>
        <w:t>T</w:t>
      </w:r>
      <w:r w:rsidRPr="00693874">
        <w:rPr>
          <w:i/>
        </w:rPr>
        <w:t xml:space="preserve">heory, and </w:t>
      </w:r>
      <w:r>
        <w:rPr>
          <w:i/>
        </w:rPr>
        <w:t>P</w:t>
      </w:r>
      <w:r w:rsidRPr="00693874">
        <w:rPr>
          <w:i/>
        </w:rPr>
        <w:t>ractice.</w:t>
      </w:r>
      <w:r w:rsidRPr="00693874">
        <w:t xml:space="preserve">  Trenton, NJ: Crane Publishing</w:t>
      </w:r>
    </w:p>
    <w:p w14:paraId="0AEC1DE7" w14:textId="77777777" w:rsidR="00A72CD6" w:rsidRDefault="00A72CD6" w:rsidP="00A72CD6">
      <w:pPr>
        <w:ind w:left="720" w:hanging="720"/>
      </w:pPr>
    </w:p>
    <w:p w14:paraId="1F43F020" w14:textId="77777777" w:rsidR="00A72CD6" w:rsidRPr="009F30A3" w:rsidRDefault="00A72CD6" w:rsidP="00A72CD6">
      <w:pPr>
        <w:ind w:left="720" w:hanging="720"/>
      </w:pPr>
      <w:r w:rsidRPr="009F30A3">
        <w:t xml:space="preserve">Crawford, J. (2000).  </w:t>
      </w:r>
      <w:r w:rsidRPr="009F30A3">
        <w:rPr>
          <w:i/>
          <w:iCs/>
        </w:rPr>
        <w:t>At War with Diversity: US Language Policy in an Age of Anxiety</w:t>
      </w:r>
      <w:r w:rsidRPr="009F30A3">
        <w:t>.  England: Multilingual Matters.</w:t>
      </w:r>
    </w:p>
    <w:p w14:paraId="0C5FC0DD" w14:textId="77777777" w:rsidR="00A72CD6" w:rsidRPr="009F30A3" w:rsidRDefault="00A72CD6" w:rsidP="00A72CD6"/>
    <w:p w14:paraId="50768B77" w14:textId="77777777" w:rsidR="00A72CD6" w:rsidRPr="009F30A3" w:rsidRDefault="00A72CD6" w:rsidP="00A72CD6">
      <w:pPr>
        <w:ind w:left="720" w:hanging="720"/>
        <w:rPr>
          <w:i/>
        </w:rPr>
      </w:pPr>
      <w:r w:rsidRPr="009F30A3">
        <w:t>Crawford, J. (2004).</w:t>
      </w:r>
      <w:r>
        <w:t xml:space="preserve">  </w:t>
      </w:r>
      <w:r>
        <w:rPr>
          <w:i/>
        </w:rPr>
        <w:t>E</w:t>
      </w:r>
      <w:r w:rsidRPr="009F30A3">
        <w:rPr>
          <w:i/>
        </w:rPr>
        <w:t xml:space="preserve">ducating English Learners: Language </w:t>
      </w:r>
      <w:r>
        <w:rPr>
          <w:i/>
        </w:rPr>
        <w:t>D</w:t>
      </w:r>
      <w:r w:rsidRPr="009F30A3">
        <w:rPr>
          <w:i/>
        </w:rPr>
        <w:t xml:space="preserve">iversity in the </w:t>
      </w:r>
      <w:r>
        <w:rPr>
          <w:i/>
        </w:rPr>
        <w:t>C</w:t>
      </w:r>
      <w:r w:rsidRPr="009F30A3">
        <w:rPr>
          <w:i/>
        </w:rPr>
        <w:t xml:space="preserve">lassroom. </w:t>
      </w:r>
      <w:r w:rsidRPr="009F30A3">
        <w:rPr>
          <w:i/>
        </w:rPr>
        <w:tab/>
      </w:r>
      <w:r w:rsidRPr="009F30A3">
        <w:t>Los Angeles, CA: Bilingual Education Services</w:t>
      </w:r>
    </w:p>
    <w:p w14:paraId="6ED1425F" w14:textId="77777777" w:rsidR="00A72CD6" w:rsidRPr="009F30A3" w:rsidRDefault="00A72CD6" w:rsidP="00A72CD6">
      <w:pPr>
        <w:rPr>
          <w:rFonts w:eastAsia="Arial Unicode MS"/>
          <w:color w:val="000000"/>
        </w:rPr>
      </w:pPr>
    </w:p>
    <w:p w14:paraId="6CEC3729" w14:textId="77777777" w:rsidR="00A72CD6" w:rsidRPr="009F30A3" w:rsidRDefault="00A72CD6" w:rsidP="00A72CD6">
      <w:pPr>
        <w:ind w:left="720" w:hanging="720"/>
        <w:jc w:val="both"/>
      </w:pPr>
      <w:r w:rsidRPr="009F30A3">
        <w:rPr>
          <w:lang w:val="es-MX"/>
        </w:rPr>
        <w:t xml:space="preserve">Darder, A., Torres, R. &amp; Gutiérrez, H. (1997).  </w:t>
      </w:r>
      <w:r w:rsidRPr="009F30A3">
        <w:rPr>
          <w:i/>
          <w:iCs/>
        </w:rPr>
        <w:t>Latinos and Education</w:t>
      </w:r>
      <w:r w:rsidRPr="009F30A3">
        <w:t xml:space="preserve">: </w:t>
      </w:r>
      <w:r w:rsidRPr="009F30A3">
        <w:rPr>
          <w:i/>
          <w:iCs/>
        </w:rPr>
        <w:t>A Critical Reader.</w:t>
      </w:r>
      <w:r w:rsidRPr="009F30A3">
        <w:t xml:space="preserve"> New York: Routledge.</w:t>
      </w:r>
    </w:p>
    <w:p w14:paraId="3D0D1B74" w14:textId="77777777" w:rsidR="00A72CD6" w:rsidRPr="009F30A3" w:rsidRDefault="00A72CD6" w:rsidP="00A72CD6">
      <w:pPr>
        <w:rPr>
          <w:rFonts w:eastAsia="Arial Unicode MS"/>
          <w:color w:val="000000"/>
        </w:rPr>
      </w:pPr>
    </w:p>
    <w:p w14:paraId="3AE2F8D9" w14:textId="77777777" w:rsidR="00A72CD6" w:rsidRDefault="00A72CD6" w:rsidP="00A72CD6">
      <w:pPr>
        <w:ind w:left="720" w:hanging="720"/>
        <w:rPr>
          <w:rFonts w:eastAsia="Arial Unicode MS"/>
          <w:color w:val="000000"/>
        </w:rPr>
      </w:pPr>
      <w:r w:rsidRPr="00985E4F">
        <w:rPr>
          <w:rFonts w:eastAsia="Arial Unicode MS"/>
          <w:color w:val="000000"/>
        </w:rPr>
        <w:t xml:space="preserve">Delgado-Gaitan, Concha. (1994). </w:t>
      </w:r>
      <w:r w:rsidRPr="00985E4F">
        <w:rPr>
          <w:rFonts w:eastAsia="Arial Unicode MS"/>
          <w:i/>
          <w:color w:val="000000"/>
        </w:rPr>
        <w:t>Sociocultural change through literacy: Toward the empowerment of families.</w:t>
      </w:r>
      <w:r w:rsidRPr="009F30A3">
        <w:rPr>
          <w:rFonts w:eastAsia="Arial Unicode MS"/>
          <w:color w:val="000000"/>
        </w:rPr>
        <w:t xml:space="preserve"> </w:t>
      </w:r>
    </w:p>
    <w:p w14:paraId="30717027" w14:textId="77777777" w:rsidR="00A72CD6" w:rsidRPr="009F30A3" w:rsidRDefault="00A72CD6" w:rsidP="00A72CD6">
      <w:pPr>
        <w:ind w:left="720" w:hanging="720"/>
        <w:rPr>
          <w:rFonts w:eastAsia="Arial Unicode MS"/>
          <w:color w:val="000000"/>
        </w:rPr>
      </w:pPr>
    </w:p>
    <w:p w14:paraId="0AE86169" w14:textId="77777777" w:rsidR="00A72CD6" w:rsidRPr="009F30A3" w:rsidRDefault="00A72CD6" w:rsidP="00A72CD6">
      <w:pPr>
        <w:ind w:left="720" w:hanging="720"/>
        <w:rPr>
          <w:rFonts w:eastAsia="Arial Unicode MS"/>
          <w:color w:val="000000"/>
        </w:rPr>
      </w:pPr>
      <w:r w:rsidRPr="009F30A3">
        <w:rPr>
          <w:rStyle w:val="Emphasis"/>
          <w:b/>
          <w:color w:val="000000"/>
        </w:rPr>
        <w:t>Durân, R</w:t>
      </w:r>
      <w:r w:rsidRPr="009F30A3">
        <w:rPr>
          <w:rStyle w:val="Emphasis"/>
          <w:color w:val="000000"/>
        </w:rPr>
        <w:t xml:space="preserve">. </w:t>
      </w:r>
      <w:r w:rsidRPr="009F30A3">
        <w:rPr>
          <w:color w:val="000000"/>
        </w:rPr>
        <w:t>(1981). Editor.</w:t>
      </w:r>
      <w:r w:rsidRPr="009F30A3">
        <w:rPr>
          <w:i/>
          <w:color w:val="000000"/>
        </w:rPr>
        <w:t xml:space="preserve"> Latino language and the </w:t>
      </w:r>
      <w:r>
        <w:rPr>
          <w:i/>
          <w:color w:val="000000"/>
        </w:rPr>
        <w:t>M</w:t>
      </w:r>
      <w:r w:rsidRPr="006E0105">
        <w:rPr>
          <w:rStyle w:val="Emphasis"/>
          <w:b/>
          <w:i w:val="0"/>
          <w:color w:val="000000"/>
        </w:rPr>
        <w:t>etaset</w:t>
      </w:r>
      <w:r w:rsidRPr="009F30A3">
        <w:rPr>
          <w:i/>
          <w:color w:val="000000"/>
        </w:rPr>
        <w:t>,</w:t>
      </w:r>
      <w:r w:rsidRPr="009F30A3">
        <w:rPr>
          <w:color w:val="000000"/>
        </w:rPr>
        <w:t xml:space="preserve"> NJ</w:t>
      </w:r>
      <w:r>
        <w:rPr>
          <w:color w:val="000000"/>
        </w:rPr>
        <w:t>: Norwood Press</w:t>
      </w:r>
      <w:r w:rsidRPr="009F30A3">
        <w:rPr>
          <w:color w:val="000000"/>
        </w:rPr>
        <w:t>.</w:t>
      </w:r>
    </w:p>
    <w:p w14:paraId="0FEDB970" w14:textId="77777777" w:rsidR="00A72CD6" w:rsidRPr="009F30A3" w:rsidRDefault="00A72CD6" w:rsidP="00A72CD6">
      <w:pPr>
        <w:ind w:left="720" w:hanging="720"/>
      </w:pPr>
    </w:p>
    <w:p w14:paraId="2DEFAB52" w14:textId="77777777" w:rsidR="00A72CD6" w:rsidRPr="009F30A3" w:rsidRDefault="00A72CD6" w:rsidP="00A72CD6">
      <w:pPr>
        <w:ind w:left="720" w:hanging="720"/>
      </w:pPr>
      <w:r w:rsidRPr="009F30A3">
        <w:t xml:space="preserve">Escobedo, D. (1999). Propositions 187 and 227: Latino immigrant rights to education. </w:t>
      </w:r>
      <w:r w:rsidRPr="009F30A3">
        <w:rPr>
          <w:i/>
        </w:rPr>
        <w:t>Human Rights Magazine</w:t>
      </w:r>
      <w:r w:rsidRPr="009F30A3">
        <w:t xml:space="preserve"> (summer), pp. 13–15.  Faltis, C. &amp; Hudelson, S. (1998). </w:t>
      </w:r>
      <w:r w:rsidRPr="009F30A3">
        <w:rPr>
          <w:i/>
          <w:iCs/>
        </w:rPr>
        <w:t>Bilingual Education in Elementary and Secondary School Communities: Toward Understanding and Caring</w:t>
      </w:r>
      <w:r>
        <w:t xml:space="preserve">. </w:t>
      </w:r>
      <w:r w:rsidRPr="009F30A3">
        <w:t xml:space="preserve">Allyn and Bacon. </w:t>
      </w:r>
    </w:p>
    <w:p w14:paraId="5E8C3404" w14:textId="77777777" w:rsidR="00A72CD6" w:rsidRPr="009F30A3" w:rsidRDefault="00A72CD6" w:rsidP="00A72CD6">
      <w:pPr>
        <w:ind w:left="720" w:hanging="720"/>
      </w:pPr>
    </w:p>
    <w:p w14:paraId="43B46561" w14:textId="77777777" w:rsidR="00A72CD6" w:rsidRPr="009F30A3" w:rsidRDefault="00A72CD6" w:rsidP="00A72CD6">
      <w:pPr>
        <w:ind w:left="720" w:hanging="720"/>
      </w:pPr>
      <w:r w:rsidRPr="009F30A3">
        <w:t xml:space="preserve">Espiritu, Y. L. (1992).  </w:t>
      </w:r>
      <w:r w:rsidRPr="009F30A3">
        <w:rPr>
          <w:i/>
        </w:rPr>
        <w:t xml:space="preserve">Asian American </w:t>
      </w:r>
      <w:r>
        <w:rPr>
          <w:i/>
        </w:rPr>
        <w:t>P</w:t>
      </w:r>
      <w:r w:rsidRPr="009F30A3">
        <w:rPr>
          <w:i/>
        </w:rPr>
        <w:t>anethnicity.</w:t>
      </w:r>
      <w:r w:rsidRPr="009F30A3">
        <w:t xml:space="preserve">  Philadelphia: Temple University Press.</w:t>
      </w:r>
    </w:p>
    <w:p w14:paraId="7AA2119A" w14:textId="77777777" w:rsidR="00A72CD6" w:rsidRPr="009F30A3" w:rsidRDefault="00A72CD6" w:rsidP="00A72CD6">
      <w:pPr>
        <w:ind w:left="720" w:hanging="720"/>
      </w:pPr>
    </w:p>
    <w:p w14:paraId="368A3935" w14:textId="77777777" w:rsidR="00A72CD6" w:rsidRPr="009F30A3" w:rsidRDefault="00A72CD6" w:rsidP="00A72CD6">
      <w:pPr>
        <w:autoSpaceDE w:val="0"/>
        <w:autoSpaceDN w:val="0"/>
        <w:adjustRightInd w:val="0"/>
        <w:ind w:left="720" w:hanging="720"/>
        <w:rPr>
          <w:rFonts w:eastAsia="Calibri"/>
        </w:rPr>
      </w:pPr>
      <w:r w:rsidRPr="00793322">
        <w:rPr>
          <w:rFonts w:eastAsia="Calibri"/>
        </w:rPr>
        <w:t xml:space="preserve">Feiman-Nemser, S. (1983). Learning to teach. In L. Shulman &amp; G. Sykes (Eds.), </w:t>
      </w:r>
      <w:r w:rsidRPr="00793322">
        <w:rPr>
          <w:rFonts w:eastAsia="Calibri"/>
          <w:i/>
          <w:iCs/>
        </w:rPr>
        <w:t xml:space="preserve">Handbook of teaching and policy </w:t>
      </w:r>
      <w:r w:rsidRPr="00793322">
        <w:rPr>
          <w:rFonts w:eastAsia="Calibri"/>
        </w:rPr>
        <w:t>(pp. 1–40). New York: Longman.</w:t>
      </w:r>
    </w:p>
    <w:p w14:paraId="6FC16E42" w14:textId="77777777" w:rsidR="00A72CD6" w:rsidRPr="009F30A3" w:rsidRDefault="00A72CD6" w:rsidP="00A72CD6">
      <w:pPr>
        <w:ind w:left="720" w:hanging="720"/>
        <w:rPr>
          <w:rFonts w:eastAsia="Arial Unicode MS"/>
          <w:color w:val="000000"/>
        </w:rPr>
      </w:pPr>
      <w:r w:rsidRPr="009F30A3">
        <w:rPr>
          <w:rFonts w:eastAsia="Arial Unicode MS"/>
          <w:color w:val="000000"/>
        </w:rPr>
        <w:lastRenderedPageBreak/>
        <w:t xml:space="preserve">Ferdman, </w:t>
      </w:r>
      <w:r>
        <w:rPr>
          <w:rFonts w:eastAsia="Arial Unicode MS"/>
          <w:color w:val="000000"/>
        </w:rPr>
        <w:t xml:space="preserve">B., </w:t>
      </w:r>
      <w:r w:rsidRPr="009F30A3">
        <w:rPr>
          <w:rFonts w:eastAsia="Arial Unicode MS"/>
          <w:color w:val="000000"/>
        </w:rPr>
        <w:t>Weber</w:t>
      </w:r>
      <w:r>
        <w:rPr>
          <w:rFonts w:eastAsia="Arial Unicode MS"/>
          <w:color w:val="000000"/>
        </w:rPr>
        <w:t>, R. &amp;</w:t>
      </w:r>
      <w:r w:rsidRPr="009F30A3">
        <w:rPr>
          <w:rFonts w:eastAsia="Arial Unicode MS"/>
          <w:color w:val="000000"/>
        </w:rPr>
        <w:t xml:space="preserve"> Ramirez</w:t>
      </w:r>
      <w:r>
        <w:rPr>
          <w:rFonts w:eastAsia="Arial Unicode MS"/>
          <w:color w:val="000000"/>
        </w:rPr>
        <w:t>, A.</w:t>
      </w:r>
      <w:r w:rsidRPr="009F30A3">
        <w:rPr>
          <w:rFonts w:eastAsia="Arial Unicode MS"/>
          <w:color w:val="000000"/>
        </w:rPr>
        <w:t xml:space="preserve"> (eds.), </w:t>
      </w:r>
      <w:r w:rsidRPr="004A759E">
        <w:rPr>
          <w:rFonts w:eastAsia="Arial Unicode MS"/>
          <w:i/>
          <w:color w:val="000000"/>
        </w:rPr>
        <w:t>Literacy across Languages and Cultures</w:t>
      </w:r>
      <w:r w:rsidRPr="009F30A3">
        <w:rPr>
          <w:rFonts w:eastAsia="Arial Unicode MS"/>
          <w:color w:val="000000"/>
        </w:rPr>
        <w:t>. Albany: University of New York Press.</w:t>
      </w:r>
    </w:p>
    <w:p w14:paraId="6AAFC92B" w14:textId="77777777" w:rsidR="00A72CD6" w:rsidRPr="009F30A3" w:rsidRDefault="00A72CD6" w:rsidP="00A72CD6">
      <w:pPr>
        <w:ind w:left="720" w:hanging="720"/>
        <w:jc w:val="both"/>
        <w:rPr>
          <w:lang w:val="es-MX"/>
        </w:rPr>
      </w:pPr>
    </w:p>
    <w:p w14:paraId="74C565BD" w14:textId="77777777" w:rsidR="00A72CD6" w:rsidRPr="009F30A3" w:rsidRDefault="00A72CD6" w:rsidP="00A72CD6">
      <w:pPr>
        <w:ind w:left="720" w:hanging="720"/>
        <w:jc w:val="both"/>
        <w:rPr>
          <w:lang w:val="es-MX"/>
        </w:rPr>
      </w:pPr>
      <w:r w:rsidRPr="009F30A3">
        <w:rPr>
          <w:lang w:val="es-MX"/>
        </w:rPr>
        <w:t xml:space="preserve">Freeman, D. &amp; Freeman, Y. (2007). </w:t>
      </w:r>
      <w:r w:rsidRPr="009F30A3">
        <w:rPr>
          <w:i/>
          <w:iCs/>
          <w:lang w:val="es-MX"/>
        </w:rPr>
        <w:t>La enseñanza de la lectura y escritura en español en el aula bilingüe.</w:t>
      </w:r>
      <w:r w:rsidRPr="009F30A3">
        <w:rPr>
          <w:lang w:val="es-MX"/>
        </w:rPr>
        <w:t xml:space="preserve"> Portsmouth, NH: Heinemann.</w:t>
      </w:r>
    </w:p>
    <w:p w14:paraId="53DCEBCF" w14:textId="77777777" w:rsidR="00A72CD6" w:rsidRPr="009F30A3" w:rsidRDefault="00A72CD6" w:rsidP="00A72CD6">
      <w:pPr>
        <w:ind w:left="720" w:hanging="720"/>
        <w:jc w:val="both"/>
        <w:rPr>
          <w:lang w:val="es-MX"/>
        </w:rPr>
      </w:pPr>
    </w:p>
    <w:p w14:paraId="5D4F509E" w14:textId="77777777" w:rsidR="00A72CD6" w:rsidRPr="009F30A3" w:rsidRDefault="00A72CD6" w:rsidP="00A72CD6">
      <w:pPr>
        <w:ind w:left="720" w:hanging="720"/>
        <w:jc w:val="both"/>
        <w:rPr>
          <w:lang w:val="es-MX"/>
        </w:rPr>
      </w:pPr>
      <w:r w:rsidRPr="009F30A3">
        <w:rPr>
          <w:lang w:val="es-MX"/>
        </w:rPr>
        <w:t xml:space="preserve">Freidman, T.L. (2006) </w:t>
      </w:r>
      <w:r w:rsidRPr="006E0105">
        <w:rPr>
          <w:i/>
          <w:lang w:val="es-MX"/>
        </w:rPr>
        <w:t xml:space="preserve">The </w:t>
      </w:r>
      <w:r>
        <w:rPr>
          <w:i/>
          <w:lang w:val="es-MX"/>
        </w:rPr>
        <w:t>W</w:t>
      </w:r>
      <w:r w:rsidRPr="006E0105">
        <w:rPr>
          <w:i/>
          <w:lang w:val="es-MX"/>
        </w:rPr>
        <w:t xml:space="preserve">orld is </w:t>
      </w:r>
      <w:r>
        <w:rPr>
          <w:i/>
          <w:lang w:val="es-MX"/>
        </w:rPr>
        <w:t>F</w:t>
      </w:r>
      <w:r w:rsidRPr="006E0105">
        <w:rPr>
          <w:i/>
          <w:lang w:val="es-MX"/>
        </w:rPr>
        <w:t xml:space="preserve">lat 3.0: A </w:t>
      </w:r>
      <w:r>
        <w:rPr>
          <w:i/>
          <w:lang w:val="es-MX"/>
        </w:rPr>
        <w:t>B</w:t>
      </w:r>
      <w:r w:rsidRPr="006E0105">
        <w:rPr>
          <w:i/>
          <w:lang w:val="es-MX"/>
        </w:rPr>
        <w:t xml:space="preserve">rief </w:t>
      </w:r>
      <w:r>
        <w:rPr>
          <w:i/>
          <w:lang w:val="es-MX"/>
        </w:rPr>
        <w:t>H</w:t>
      </w:r>
      <w:r w:rsidRPr="006E0105">
        <w:rPr>
          <w:i/>
          <w:lang w:val="es-MX"/>
        </w:rPr>
        <w:t xml:space="preserve">istory of the </w:t>
      </w:r>
      <w:r>
        <w:rPr>
          <w:i/>
          <w:lang w:val="es-MX"/>
        </w:rPr>
        <w:t>T</w:t>
      </w:r>
      <w:r w:rsidRPr="006E0105">
        <w:rPr>
          <w:i/>
          <w:lang w:val="es-MX"/>
        </w:rPr>
        <w:t>wenty-</w:t>
      </w:r>
      <w:r>
        <w:rPr>
          <w:i/>
          <w:lang w:val="es-MX"/>
        </w:rPr>
        <w:t>Fi</w:t>
      </w:r>
      <w:r w:rsidRPr="006E0105">
        <w:rPr>
          <w:i/>
          <w:lang w:val="es-MX"/>
        </w:rPr>
        <w:t xml:space="preserve">rst </w:t>
      </w:r>
      <w:r>
        <w:rPr>
          <w:i/>
          <w:lang w:val="es-MX"/>
        </w:rPr>
        <w:t>Cent</w:t>
      </w:r>
      <w:r w:rsidRPr="006E0105">
        <w:rPr>
          <w:i/>
          <w:lang w:val="es-MX"/>
        </w:rPr>
        <w:t>ury.</w:t>
      </w:r>
      <w:r w:rsidRPr="009F30A3">
        <w:rPr>
          <w:lang w:val="es-MX"/>
        </w:rPr>
        <w:t xml:space="preserve"> New York: Picador Publishers.</w:t>
      </w:r>
    </w:p>
    <w:p w14:paraId="46D4B73B" w14:textId="77777777" w:rsidR="00A72CD6" w:rsidRPr="009F30A3" w:rsidRDefault="00A72CD6" w:rsidP="00A72CD6">
      <w:pPr>
        <w:ind w:left="720" w:hanging="720"/>
        <w:jc w:val="both"/>
      </w:pPr>
    </w:p>
    <w:p w14:paraId="6986399C" w14:textId="77777777" w:rsidR="00A72CD6" w:rsidRPr="009F30A3" w:rsidRDefault="00A72CD6" w:rsidP="00A72CD6">
      <w:pPr>
        <w:ind w:left="720" w:hanging="720"/>
        <w:jc w:val="both"/>
      </w:pPr>
      <w:r w:rsidRPr="009F30A3">
        <w:t>García, O. &amp; Otheguy, R. (1988). The Language Situation of Cuban Americans.</w:t>
      </w:r>
      <w:r>
        <w:t xml:space="preserve"> </w:t>
      </w:r>
      <w:r w:rsidRPr="009F30A3">
        <w:t xml:space="preserve">In: S. McKay </w:t>
      </w:r>
      <w:proofErr w:type="gramStart"/>
      <w:r w:rsidRPr="009F30A3">
        <w:t>&amp;  S</w:t>
      </w:r>
      <w:proofErr w:type="gramEnd"/>
      <w:r w:rsidRPr="009F30A3">
        <w:t>.Wong</w:t>
      </w:r>
      <w:r>
        <w:t xml:space="preserve">, </w:t>
      </w:r>
      <w:r w:rsidRPr="00B65CBB">
        <w:rPr>
          <w:i/>
        </w:rPr>
        <w:t>L</w:t>
      </w:r>
      <w:r w:rsidRPr="009F30A3">
        <w:rPr>
          <w:i/>
          <w:iCs/>
        </w:rPr>
        <w:t xml:space="preserve">anguage Diversity:  Problem or Resource? </w:t>
      </w:r>
      <w:r w:rsidRPr="009F30A3">
        <w:t>Boston: Heinle &amp; Heinle, Inc.</w:t>
      </w:r>
    </w:p>
    <w:p w14:paraId="5D5CF414" w14:textId="77777777" w:rsidR="00A72CD6" w:rsidRPr="009F30A3" w:rsidRDefault="00A72CD6" w:rsidP="00A72CD6">
      <w:pPr>
        <w:ind w:left="720" w:hanging="720"/>
        <w:jc w:val="both"/>
        <w:rPr>
          <w:lang w:val="es-MX"/>
        </w:rPr>
      </w:pPr>
    </w:p>
    <w:p w14:paraId="520C9E5F"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Gergen, K. J. (1991). </w:t>
      </w:r>
      <w:r w:rsidRPr="00793322">
        <w:rPr>
          <w:rFonts w:eastAsia="Calibri"/>
          <w:i/>
          <w:iCs/>
        </w:rPr>
        <w:t xml:space="preserve">The </w:t>
      </w:r>
      <w:r>
        <w:rPr>
          <w:rFonts w:eastAsia="Calibri"/>
          <w:i/>
          <w:iCs/>
        </w:rPr>
        <w:t>S</w:t>
      </w:r>
      <w:r w:rsidRPr="00793322">
        <w:rPr>
          <w:rFonts w:eastAsia="Calibri"/>
          <w:i/>
          <w:iCs/>
        </w:rPr>
        <w:t xml:space="preserve">aturated </w:t>
      </w:r>
      <w:r>
        <w:rPr>
          <w:rFonts w:eastAsia="Calibri"/>
          <w:i/>
          <w:iCs/>
        </w:rPr>
        <w:t>S</w:t>
      </w:r>
      <w:r w:rsidRPr="00793322">
        <w:rPr>
          <w:rFonts w:eastAsia="Calibri"/>
          <w:i/>
          <w:iCs/>
        </w:rPr>
        <w:t xml:space="preserve">elf: Dilemmas of </w:t>
      </w:r>
      <w:r>
        <w:rPr>
          <w:rFonts w:eastAsia="Calibri"/>
          <w:i/>
          <w:iCs/>
        </w:rPr>
        <w:t>I</w:t>
      </w:r>
      <w:r w:rsidRPr="00793322">
        <w:rPr>
          <w:rFonts w:eastAsia="Calibri"/>
          <w:i/>
          <w:iCs/>
        </w:rPr>
        <w:t xml:space="preserve">dentity in </w:t>
      </w:r>
      <w:r>
        <w:rPr>
          <w:rFonts w:eastAsia="Calibri"/>
          <w:i/>
          <w:iCs/>
        </w:rPr>
        <w:t>C</w:t>
      </w:r>
      <w:r w:rsidRPr="00793322">
        <w:rPr>
          <w:rFonts w:eastAsia="Calibri"/>
          <w:i/>
          <w:iCs/>
        </w:rPr>
        <w:t xml:space="preserve">ontemporary </w:t>
      </w:r>
      <w:r>
        <w:rPr>
          <w:rFonts w:eastAsia="Calibri"/>
          <w:i/>
          <w:iCs/>
        </w:rPr>
        <w:t>L</w:t>
      </w:r>
      <w:r w:rsidRPr="00793322">
        <w:rPr>
          <w:rFonts w:eastAsia="Calibri"/>
          <w:i/>
          <w:iCs/>
        </w:rPr>
        <w:t>ife</w:t>
      </w:r>
      <w:r w:rsidRPr="00793322">
        <w:rPr>
          <w:rFonts w:eastAsia="Calibri"/>
        </w:rPr>
        <w:t>. New York: Basic Books.</w:t>
      </w:r>
    </w:p>
    <w:p w14:paraId="49248D0F" w14:textId="77777777" w:rsidR="00A72CD6" w:rsidRPr="00793322" w:rsidRDefault="00A72CD6" w:rsidP="00A72CD6">
      <w:pPr>
        <w:autoSpaceDE w:val="0"/>
        <w:autoSpaceDN w:val="0"/>
        <w:adjustRightInd w:val="0"/>
        <w:rPr>
          <w:rFonts w:eastAsia="Calibri"/>
        </w:rPr>
      </w:pPr>
    </w:p>
    <w:p w14:paraId="1A445D88" w14:textId="77777777" w:rsidR="00A72CD6" w:rsidRPr="00793322" w:rsidRDefault="00A72CD6" w:rsidP="00A72CD6">
      <w:pPr>
        <w:ind w:left="720" w:hanging="720"/>
        <w:jc w:val="both"/>
      </w:pPr>
      <w:r w:rsidRPr="00793322">
        <w:t xml:space="preserve">Gonzalez, N., Moll, L. &amp; Amanti, C. (2005) </w:t>
      </w:r>
      <w:r w:rsidRPr="006E0105">
        <w:rPr>
          <w:i/>
        </w:rPr>
        <w:t>Funds of knowledge: Theorizing Practices in Households, Communities and Classrooms</w:t>
      </w:r>
      <w:r w:rsidRPr="00793322">
        <w:t>.</w:t>
      </w:r>
      <w:r>
        <w:t xml:space="preserve"> </w:t>
      </w:r>
      <w:r w:rsidRPr="00793322">
        <w:t>Mahwah, NJ.: Lawrence Earlbaum Associates.</w:t>
      </w:r>
    </w:p>
    <w:p w14:paraId="4BC4DF28" w14:textId="77777777" w:rsidR="00A72CD6" w:rsidRPr="00793322" w:rsidRDefault="00A72CD6" w:rsidP="00A72CD6">
      <w:pPr>
        <w:autoSpaceDE w:val="0"/>
        <w:autoSpaceDN w:val="0"/>
        <w:adjustRightInd w:val="0"/>
        <w:ind w:left="720" w:hanging="720"/>
        <w:rPr>
          <w:rFonts w:eastAsia="Calibri"/>
        </w:rPr>
      </w:pPr>
    </w:p>
    <w:p w14:paraId="5AB1D693"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Goodwin, A., L., Genishi, C., Asher, N., &amp; Woo, K. A. (1997). Voices from the </w:t>
      </w:r>
      <w:r>
        <w:rPr>
          <w:rFonts w:eastAsia="Calibri"/>
        </w:rPr>
        <w:t>M</w:t>
      </w:r>
      <w:r w:rsidRPr="00793322">
        <w:rPr>
          <w:rFonts w:eastAsia="Calibri"/>
        </w:rPr>
        <w:t xml:space="preserve">argins: Asian American </w:t>
      </w:r>
      <w:r>
        <w:rPr>
          <w:rFonts w:eastAsia="Calibri"/>
        </w:rPr>
        <w:t>T</w:t>
      </w:r>
      <w:r w:rsidRPr="00793322">
        <w:rPr>
          <w:rFonts w:eastAsia="Calibri"/>
        </w:rPr>
        <w:t xml:space="preserve">eachers’ </w:t>
      </w:r>
      <w:r>
        <w:rPr>
          <w:rFonts w:eastAsia="Calibri"/>
        </w:rPr>
        <w:t>E</w:t>
      </w:r>
      <w:r w:rsidRPr="00793322">
        <w:rPr>
          <w:rFonts w:eastAsia="Calibri"/>
        </w:rPr>
        <w:t xml:space="preserve">xperiences in the </w:t>
      </w:r>
      <w:r>
        <w:rPr>
          <w:rFonts w:eastAsia="Calibri"/>
        </w:rPr>
        <w:t>P</w:t>
      </w:r>
      <w:r w:rsidRPr="00793322">
        <w:rPr>
          <w:rFonts w:eastAsia="Calibri"/>
        </w:rPr>
        <w:t xml:space="preserve">rofession. In D. M. Byrd &amp; D. J. McIntyre (Eds.), </w:t>
      </w:r>
      <w:r w:rsidRPr="00793322">
        <w:rPr>
          <w:rFonts w:eastAsia="Calibri"/>
          <w:i/>
          <w:iCs/>
        </w:rPr>
        <w:t xml:space="preserve">Teacher </w:t>
      </w:r>
      <w:r>
        <w:rPr>
          <w:rFonts w:eastAsia="Calibri"/>
          <w:i/>
          <w:iCs/>
        </w:rPr>
        <w:t>E</w:t>
      </w:r>
      <w:r w:rsidRPr="00793322">
        <w:rPr>
          <w:rFonts w:eastAsia="Calibri"/>
          <w:i/>
          <w:iCs/>
        </w:rPr>
        <w:t xml:space="preserve">ducation </w:t>
      </w:r>
      <w:r>
        <w:rPr>
          <w:rFonts w:eastAsia="Calibri"/>
          <w:i/>
          <w:iCs/>
        </w:rPr>
        <w:t>Y</w:t>
      </w:r>
      <w:r w:rsidRPr="00793322">
        <w:rPr>
          <w:rFonts w:eastAsia="Calibri"/>
          <w:i/>
          <w:iCs/>
        </w:rPr>
        <w:t xml:space="preserve">earbook </w:t>
      </w:r>
      <w:r w:rsidRPr="00793322">
        <w:rPr>
          <w:rFonts w:eastAsia="Calibri"/>
        </w:rPr>
        <w:t xml:space="preserve">(Vol. </w:t>
      </w:r>
      <w:r w:rsidRPr="00793322">
        <w:rPr>
          <w:rFonts w:eastAsia="Calibri"/>
          <w:i/>
          <w:iCs/>
        </w:rPr>
        <w:t>5</w:t>
      </w:r>
      <w:r w:rsidRPr="00793322">
        <w:rPr>
          <w:rFonts w:eastAsia="Calibri"/>
        </w:rPr>
        <w:t>, pp. 219–241). Thousand Oaks, CA: Association of Teacher Educators and Corwin Press.</w:t>
      </w:r>
    </w:p>
    <w:p w14:paraId="7381A575" w14:textId="77777777" w:rsidR="00A72CD6" w:rsidRPr="00793322" w:rsidRDefault="00A72CD6" w:rsidP="00A72CD6">
      <w:pPr>
        <w:autoSpaceDE w:val="0"/>
        <w:autoSpaceDN w:val="0"/>
        <w:adjustRightInd w:val="0"/>
        <w:rPr>
          <w:rFonts w:eastAsia="Calibri"/>
        </w:rPr>
      </w:pPr>
    </w:p>
    <w:p w14:paraId="4FB57476"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Gordon, J. (1994). Why </w:t>
      </w:r>
      <w:r>
        <w:rPr>
          <w:rFonts w:eastAsia="Calibri"/>
        </w:rPr>
        <w:t>S</w:t>
      </w:r>
      <w:r w:rsidRPr="00793322">
        <w:rPr>
          <w:rFonts w:eastAsia="Calibri"/>
        </w:rPr>
        <w:t xml:space="preserve">tudents of </w:t>
      </w:r>
      <w:r>
        <w:rPr>
          <w:rFonts w:eastAsia="Calibri"/>
        </w:rPr>
        <w:t>C</w:t>
      </w:r>
      <w:r w:rsidRPr="00793322">
        <w:rPr>
          <w:rFonts w:eastAsia="Calibri"/>
        </w:rPr>
        <w:t xml:space="preserve">olor are not </w:t>
      </w:r>
      <w:r>
        <w:rPr>
          <w:rFonts w:eastAsia="Calibri"/>
        </w:rPr>
        <w:t>E</w:t>
      </w:r>
      <w:r w:rsidRPr="00793322">
        <w:rPr>
          <w:rFonts w:eastAsia="Calibri"/>
        </w:rPr>
        <w:t xml:space="preserve">ntering </w:t>
      </w:r>
      <w:r>
        <w:rPr>
          <w:rFonts w:eastAsia="Calibri"/>
        </w:rPr>
        <w:t>T</w:t>
      </w:r>
      <w:r w:rsidRPr="00793322">
        <w:rPr>
          <w:rFonts w:eastAsia="Calibri"/>
        </w:rPr>
        <w:t xml:space="preserve">eaching: Reflections from </w:t>
      </w:r>
      <w:r>
        <w:rPr>
          <w:rFonts w:eastAsia="Calibri"/>
        </w:rPr>
        <w:t>M</w:t>
      </w:r>
      <w:r w:rsidRPr="00793322">
        <w:rPr>
          <w:rFonts w:eastAsia="Calibri"/>
        </w:rPr>
        <w:t xml:space="preserve">inority </w:t>
      </w:r>
      <w:r>
        <w:rPr>
          <w:rFonts w:eastAsia="Calibri"/>
        </w:rPr>
        <w:t>T</w:t>
      </w:r>
      <w:r w:rsidRPr="00793322">
        <w:rPr>
          <w:rFonts w:eastAsia="Calibri"/>
        </w:rPr>
        <w:t xml:space="preserve">eachers. </w:t>
      </w:r>
      <w:r w:rsidRPr="00793322">
        <w:rPr>
          <w:rFonts w:eastAsia="Calibri"/>
          <w:i/>
          <w:iCs/>
        </w:rPr>
        <w:t>Journal of Teacher Education</w:t>
      </w:r>
      <w:r w:rsidRPr="00793322">
        <w:rPr>
          <w:rFonts w:eastAsia="Calibri"/>
        </w:rPr>
        <w:t xml:space="preserve">, </w:t>
      </w:r>
      <w:r w:rsidRPr="00793322">
        <w:rPr>
          <w:rFonts w:eastAsia="Calibri"/>
          <w:i/>
          <w:iCs/>
        </w:rPr>
        <w:t>45</w:t>
      </w:r>
      <w:r w:rsidRPr="00793322">
        <w:rPr>
          <w:rFonts w:eastAsia="Calibri"/>
        </w:rPr>
        <w:t>, 346–353.</w:t>
      </w:r>
    </w:p>
    <w:p w14:paraId="7F41AF8D" w14:textId="77777777" w:rsidR="00A72CD6" w:rsidRPr="00793322" w:rsidRDefault="00A72CD6" w:rsidP="00A72CD6">
      <w:pPr>
        <w:autoSpaceDE w:val="0"/>
        <w:autoSpaceDN w:val="0"/>
        <w:adjustRightInd w:val="0"/>
        <w:rPr>
          <w:rFonts w:eastAsia="Calibri"/>
        </w:rPr>
      </w:pPr>
    </w:p>
    <w:p w14:paraId="15F8A884"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Gordon, J. (2000). Asian American </w:t>
      </w:r>
      <w:r>
        <w:rPr>
          <w:rFonts w:eastAsia="Calibri"/>
        </w:rPr>
        <w:t>R</w:t>
      </w:r>
      <w:r w:rsidRPr="00793322">
        <w:rPr>
          <w:rFonts w:eastAsia="Calibri"/>
        </w:rPr>
        <w:t xml:space="preserve">esistance to </w:t>
      </w:r>
      <w:r>
        <w:rPr>
          <w:rFonts w:eastAsia="Calibri"/>
        </w:rPr>
        <w:t>S</w:t>
      </w:r>
      <w:r w:rsidRPr="00793322">
        <w:rPr>
          <w:rFonts w:eastAsia="Calibri"/>
        </w:rPr>
        <w:t xml:space="preserve">electing </w:t>
      </w:r>
      <w:r>
        <w:rPr>
          <w:rFonts w:eastAsia="Calibri"/>
        </w:rPr>
        <w:t>T</w:t>
      </w:r>
      <w:r w:rsidRPr="00793322">
        <w:rPr>
          <w:rFonts w:eastAsia="Calibri"/>
        </w:rPr>
        <w:t xml:space="preserve">eaching as a </w:t>
      </w:r>
      <w:r>
        <w:rPr>
          <w:rFonts w:eastAsia="Calibri"/>
        </w:rPr>
        <w:t>C</w:t>
      </w:r>
      <w:r w:rsidRPr="00793322">
        <w:rPr>
          <w:rFonts w:eastAsia="Calibri"/>
        </w:rPr>
        <w:t xml:space="preserve">areer: The </w:t>
      </w:r>
      <w:r>
        <w:rPr>
          <w:rFonts w:eastAsia="Calibri"/>
        </w:rPr>
        <w:t>P</w:t>
      </w:r>
      <w:r w:rsidRPr="00793322">
        <w:rPr>
          <w:rFonts w:eastAsia="Calibri"/>
        </w:rPr>
        <w:t xml:space="preserve">ower of </w:t>
      </w:r>
      <w:r>
        <w:rPr>
          <w:rFonts w:eastAsia="Calibri"/>
        </w:rPr>
        <w:t>C</w:t>
      </w:r>
      <w:r w:rsidRPr="00793322">
        <w:rPr>
          <w:rFonts w:eastAsia="Calibri"/>
        </w:rPr>
        <w:t xml:space="preserve">ommunity and </w:t>
      </w:r>
      <w:r>
        <w:rPr>
          <w:rFonts w:eastAsia="Calibri"/>
        </w:rPr>
        <w:t>T</w:t>
      </w:r>
      <w:r w:rsidRPr="00793322">
        <w:rPr>
          <w:rFonts w:eastAsia="Calibri"/>
        </w:rPr>
        <w:t xml:space="preserve">radition. </w:t>
      </w:r>
      <w:r w:rsidRPr="00793322">
        <w:rPr>
          <w:rFonts w:eastAsia="Calibri"/>
          <w:i/>
          <w:iCs/>
        </w:rPr>
        <w:t>Teachers College Record</w:t>
      </w:r>
      <w:r w:rsidRPr="00793322">
        <w:rPr>
          <w:rFonts w:eastAsia="Calibri"/>
        </w:rPr>
        <w:t xml:space="preserve">, </w:t>
      </w:r>
      <w:r w:rsidRPr="00793322">
        <w:rPr>
          <w:rFonts w:eastAsia="Calibri"/>
          <w:i/>
          <w:iCs/>
        </w:rPr>
        <w:t>102</w:t>
      </w:r>
      <w:r w:rsidRPr="00793322">
        <w:rPr>
          <w:rFonts w:eastAsia="Calibri"/>
        </w:rPr>
        <w:t>(1), 173–196.</w:t>
      </w:r>
    </w:p>
    <w:p w14:paraId="7F657FD4" w14:textId="77777777" w:rsidR="00A72CD6" w:rsidRPr="00793322" w:rsidRDefault="00A72CD6" w:rsidP="00A72CD6">
      <w:pPr>
        <w:autoSpaceDE w:val="0"/>
        <w:autoSpaceDN w:val="0"/>
        <w:adjustRightInd w:val="0"/>
        <w:rPr>
          <w:rFonts w:eastAsia="Calibri"/>
        </w:rPr>
      </w:pPr>
    </w:p>
    <w:p w14:paraId="73E5EAD6"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Guyton, E., &amp;McIntyre, D. J. (1990). Student </w:t>
      </w:r>
      <w:r>
        <w:rPr>
          <w:rFonts w:eastAsia="Calibri"/>
        </w:rPr>
        <w:t>T</w:t>
      </w:r>
      <w:r w:rsidRPr="00793322">
        <w:rPr>
          <w:rFonts w:eastAsia="Calibri"/>
        </w:rPr>
        <w:t xml:space="preserve">eaching and </w:t>
      </w:r>
      <w:r>
        <w:rPr>
          <w:rFonts w:eastAsia="Calibri"/>
        </w:rPr>
        <w:t>S</w:t>
      </w:r>
      <w:r w:rsidRPr="00793322">
        <w:rPr>
          <w:rFonts w:eastAsia="Calibri"/>
        </w:rPr>
        <w:t xml:space="preserve">chool </w:t>
      </w:r>
      <w:r>
        <w:rPr>
          <w:rFonts w:eastAsia="Calibri"/>
        </w:rPr>
        <w:t>E</w:t>
      </w:r>
      <w:r w:rsidRPr="00793322">
        <w:rPr>
          <w:rFonts w:eastAsia="Calibri"/>
        </w:rPr>
        <w:t xml:space="preserve">xperiences. </w:t>
      </w:r>
      <w:r w:rsidRPr="00793322">
        <w:rPr>
          <w:rFonts w:eastAsia="Calibri"/>
          <w:i/>
          <w:iCs/>
        </w:rPr>
        <w:t xml:space="preserve">Handbook of </w:t>
      </w:r>
      <w:r>
        <w:rPr>
          <w:rFonts w:eastAsia="Calibri"/>
          <w:i/>
          <w:iCs/>
        </w:rPr>
        <w:t>R</w:t>
      </w:r>
      <w:r w:rsidRPr="00793322">
        <w:rPr>
          <w:rFonts w:eastAsia="Calibri"/>
          <w:i/>
          <w:iCs/>
        </w:rPr>
        <w:t xml:space="preserve">esearch on </w:t>
      </w:r>
      <w:r>
        <w:rPr>
          <w:rFonts w:eastAsia="Calibri"/>
          <w:i/>
          <w:iCs/>
        </w:rPr>
        <w:t>T</w:t>
      </w:r>
      <w:r w:rsidRPr="00793322">
        <w:rPr>
          <w:rFonts w:eastAsia="Calibri"/>
          <w:i/>
          <w:iCs/>
        </w:rPr>
        <w:t xml:space="preserve">eacher </w:t>
      </w:r>
      <w:r>
        <w:rPr>
          <w:rFonts w:eastAsia="Calibri"/>
          <w:i/>
          <w:iCs/>
        </w:rPr>
        <w:t>E</w:t>
      </w:r>
      <w:r w:rsidRPr="00793322">
        <w:rPr>
          <w:rFonts w:eastAsia="Calibri"/>
          <w:i/>
          <w:iCs/>
        </w:rPr>
        <w:t>ducation</w:t>
      </w:r>
      <w:r w:rsidRPr="00793322">
        <w:rPr>
          <w:rFonts w:eastAsia="Calibri"/>
        </w:rPr>
        <w:t>. New York: Macmillan.</w:t>
      </w:r>
    </w:p>
    <w:p w14:paraId="566F19A3" w14:textId="77777777" w:rsidR="00A72CD6" w:rsidRPr="00793322" w:rsidRDefault="00A72CD6" w:rsidP="00A72CD6">
      <w:pPr>
        <w:autoSpaceDE w:val="0"/>
        <w:autoSpaceDN w:val="0"/>
        <w:adjustRightInd w:val="0"/>
        <w:rPr>
          <w:rFonts w:eastAsia="Calibri"/>
        </w:rPr>
      </w:pPr>
    </w:p>
    <w:p w14:paraId="7F3772D4"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Holland, D., Lachicotte, W., Skinner, D., &amp; Cain, C. (1998). </w:t>
      </w:r>
      <w:r w:rsidRPr="00793322">
        <w:rPr>
          <w:rFonts w:eastAsia="Calibri"/>
          <w:i/>
          <w:iCs/>
        </w:rPr>
        <w:t xml:space="preserve">Identity and </w:t>
      </w:r>
      <w:r>
        <w:rPr>
          <w:rFonts w:eastAsia="Calibri"/>
          <w:i/>
          <w:iCs/>
        </w:rPr>
        <w:t>A</w:t>
      </w:r>
      <w:r w:rsidRPr="00793322">
        <w:rPr>
          <w:rFonts w:eastAsia="Calibri"/>
          <w:i/>
          <w:iCs/>
        </w:rPr>
        <w:t xml:space="preserve">gency in </w:t>
      </w:r>
      <w:r>
        <w:rPr>
          <w:rFonts w:eastAsia="Calibri"/>
          <w:i/>
          <w:iCs/>
        </w:rPr>
        <w:t>C</w:t>
      </w:r>
      <w:r w:rsidRPr="00793322">
        <w:rPr>
          <w:rFonts w:eastAsia="Calibri"/>
          <w:i/>
          <w:iCs/>
        </w:rPr>
        <w:t xml:space="preserve">ultural </w:t>
      </w:r>
      <w:r>
        <w:rPr>
          <w:rFonts w:eastAsia="Calibri"/>
          <w:i/>
          <w:iCs/>
        </w:rPr>
        <w:t>W</w:t>
      </w:r>
      <w:r w:rsidRPr="00793322">
        <w:rPr>
          <w:rFonts w:eastAsia="Calibri"/>
          <w:i/>
          <w:iCs/>
        </w:rPr>
        <w:t>orlds</w:t>
      </w:r>
      <w:r w:rsidRPr="00793322">
        <w:rPr>
          <w:rFonts w:eastAsia="Calibri"/>
        </w:rPr>
        <w:t>. Cambridge, MA: Harvard University Press.</w:t>
      </w:r>
    </w:p>
    <w:p w14:paraId="0D3D2F72" w14:textId="77777777" w:rsidR="00A72CD6" w:rsidRPr="00793322" w:rsidRDefault="00A72CD6" w:rsidP="00A72CD6">
      <w:pPr>
        <w:autoSpaceDE w:val="0"/>
        <w:autoSpaceDN w:val="0"/>
        <w:adjustRightInd w:val="0"/>
        <w:rPr>
          <w:rFonts w:eastAsia="Calibri"/>
          <w:color w:val="000000"/>
        </w:rPr>
      </w:pPr>
    </w:p>
    <w:p w14:paraId="7F51E8C6" w14:textId="77777777" w:rsidR="00A72CD6" w:rsidRPr="00793322" w:rsidRDefault="00A72CD6" w:rsidP="00A72CD6">
      <w:pPr>
        <w:autoSpaceDE w:val="0"/>
        <w:autoSpaceDN w:val="0"/>
        <w:adjustRightInd w:val="0"/>
        <w:rPr>
          <w:rFonts w:eastAsia="Calibri"/>
          <w:color w:val="000000"/>
        </w:rPr>
      </w:pPr>
      <w:r w:rsidRPr="00793322">
        <w:rPr>
          <w:rFonts w:eastAsia="Calibri"/>
          <w:color w:val="000000"/>
        </w:rPr>
        <w:t xml:space="preserve">Hsu, S. (2005). </w:t>
      </w:r>
      <w:r w:rsidRPr="00DF05F6">
        <w:rPr>
          <w:rFonts w:eastAsia="Calibri"/>
          <w:i/>
          <w:color w:val="000000"/>
        </w:rPr>
        <w:t xml:space="preserve">Help-seeking </w:t>
      </w:r>
      <w:r>
        <w:rPr>
          <w:rFonts w:eastAsia="Calibri"/>
          <w:i/>
          <w:color w:val="000000"/>
        </w:rPr>
        <w:t>B</w:t>
      </w:r>
      <w:r w:rsidRPr="00DF05F6">
        <w:rPr>
          <w:rFonts w:eastAsia="Calibri"/>
          <w:i/>
          <w:color w:val="000000"/>
        </w:rPr>
        <w:t xml:space="preserve">ehavior of </w:t>
      </w:r>
      <w:r>
        <w:rPr>
          <w:rFonts w:eastAsia="Calibri"/>
          <w:i/>
          <w:color w:val="000000"/>
        </w:rPr>
        <w:t>S</w:t>
      </w:r>
      <w:r w:rsidRPr="00DF05F6">
        <w:rPr>
          <w:rFonts w:eastAsia="Calibri"/>
          <w:i/>
          <w:color w:val="000000"/>
        </w:rPr>
        <w:t xml:space="preserve">tudent </w:t>
      </w:r>
      <w:r>
        <w:rPr>
          <w:rFonts w:eastAsia="Calibri"/>
          <w:i/>
          <w:color w:val="000000"/>
        </w:rPr>
        <w:t>T</w:t>
      </w:r>
      <w:r w:rsidRPr="00DF05F6">
        <w:rPr>
          <w:rFonts w:eastAsia="Calibri"/>
          <w:i/>
          <w:color w:val="000000"/>
        </w:rPr>
        <w:t>eachers</w:t>
      </w:r>
      <w:r w:rsidRPr="00793322">
        <w:rPr>
          <w:rFonts w:eastAsia="Calibri"/>
          <w:color w:val="000000"/>
        </w:rPr>
        <w:t>. Educational Research,</w:t>
      </w:r>
    </w:p>
    <w:p w14:paraId="045BF543" w14:textId="77777777" w:rsidR="00A72CD6" w:rsidRPr="009F30A3" w:rsidRDefault="00A72CD6" w:rsidP="00A72CD6">
      <w:pPr>
        <w:autoSpaceDE w:val="0"/>
        <w:autoSpaceDN w:val="0"/>
        <w:adjustRightInd w:val="0"/>
        <w:ind w:firstLine="720"/>
        <w:rPr>
          <w:rFonts w:eastAsia="Calibri"/>
          <w:color w:val="000000"/>
        </w:rPr>
      </w:pPr>
      <w:r w:rsidRPr="00793322">
        <w:rPr>
          <w:rFonts w:eastAsia="Calibri"/>
          <w:color w:val="000000"/>
        </w:rPr>
        <w:t>47(3), 308–318.</w:t>
      </w:r>
    </w:p>
    <w:p w14:paraId="56DCAC3B" w14:textId="77777777" w:rsidR="00A72CD6" w:rsidRPr="009F30A3" w:rsidRDefault="00A72CD6" w:rsidP="00A72CD6">
      <w:pPr>
        <w:autoSpaceDE w:val="0"/>
        <w:autoSpaceDN w:val="0"/>
        <w:adjustRightInd w:val="0"/>
        <w:ind w:firstLine="720"/>
        <w:rPr>
          <w:rFonts w:eastAsia="Calibri"/>
          <w:color w:val="000000"/>
        </w:rPr>
      </w:pPr>
    </w:p>
    <w:p w14:paraId="6AC849AB" w14:textId="77777777" w:rsidR="00A72CD6" w:rsidRPr="009F30A3" w:rsidRDefault="00A72CD6" w:rsidP="00A72CD6">
      <w:pPr>
        <w:pStyle w:val="BodyTextIndent"/>
        <w:ind w:left="720" w:hanging="720"/>
        <w:rPr>
          <w:rFonts w:eastAsia="Arial Unicode MS"/>
          <w:color w:val="000000"/>
          <w:lang w:val="es-MX"/>
        </w:rPr>
      </w:pPr>
      <w:bookmarkStart w:id="115" w:name="_Toc335915113"/>
      <w:r w:rsidRPr="009F30A3">
        <w:t xml:space="preserve">Ima, K. &amp; Rumbaut, R. G. (1989).  Southeast Asian </w:t>
      </w:r>
      <w:r>
        <w:t>R</w:t>
      </w:r>
      <w:r w:rsidRPr="009F30A3">
        <w:t xml:space="preserve">efugees in American schools: A comparison of fluent-English-proficient and limited-English-proficient students.  </w:t>
      </w:r>
      <w:r w:rsidRPr="009F30A3">
        <w:rPr>
          <w:i/>
        </w:rPr>
        <w:t>Topics in Language Disorders</w:t>
      </w:r>
      <w:r w:rsidRPr="009F30A3">
        <w:t>, 9:3.</w:t>
      </w:r>
      <w:bookmarkEnd w:id="115"/>
      <w:r w:rsidRPr="009F30A3">
        <w:t xml:space="preserve"> </w:t>
      </w:r>
    </w:p>
    <w:p w14:paraId="20BF1717" w14:textId="77777777" w:rsidR="00A72CD6" w:rsidRPr="009F30A3" w:rsidRDefault="00A72CD6" w:rsidP="00A72CD6">
      <w:r w:rsidRPr="009F30A3">
        <w:t xml:space="preserve">Jimenez, R.T. (1997). The Strategic Reading Abilities and Potential of Five </w:t>
      </w:r>
      <w:r>
        <w:t>L</w:t>
      </w:r>
      <w:r w:rsidRPr="009F30A3">
        <w:t xml:space="preserve">ow-Literacy </w:t>
      </w:r>
    </w:p>
    <w:p w14:paraId="5DE58B78" w14:textId="77777777" w:rsidR="00A72CD6" w:rsidRPr="009F30A3" w:rsidRDefault="00A72CD6" w:rsidP="00A72CD6">
      <w:pPr>
        <w:ind w:firstLine="720"/>
      </w:pPr>
      <w:r w:rsidRPr="009F30A3">
        <w:t xml:space="preserve">Latina/o Readers in Middle School. </w:t>
      </w:r>
      <w:r w:rsidRPr="009F30A3">
        <w:rPr>
          <w:i/>
        </w:rPr>
        <w:t xml:space="preserve">Reading Research Quarterly, </w:t>
      </w:r>
      <w:r w:rsidRPr="009F30A3">
        <w:t xml:space="preserve">32(3), 224-243. </w:t>
      </w:r>
    </w:p>
    <w:p w14:paraId="4A246AB0" w14:textId="77777777" w:rsidR="00A72CD6" w:rsidRPr="009F30A3" w:rsidRDefault="00A72CD6" w:rsidP="00A72CD6">
      <w:pPr>
        <w:ind w:left="720" w:hanging="720"/>
        <w:jc w:val="both"/>
        <w:rPr>
          <w:rFonts w:eastAsia="Arial Unicode MS"/>
          <w:color w:val="000000"/>
          <w:lang w:val="es-MX"/>
        </w:rPr>
      </w:pPr>
    </w:p>
    <w:p w14:paraId="721DB195" w14:textId="77777777" w:rsidR="00A72CD6" w:rsidRPr="009F30A3" w:rsidRDefault="00A72CD6" w:rsidP="00A72CD6">
      <w:pPr>
        <w:autoSpaceDE w:val="0"/>
        <w:autoSpaceDN w:val="0"/>
        <w:adjustRightInd w:val="0"/>
        <w:rPr>
          <w:rFonts w:eastAsia="Calibri"/>
        </w:rPr>
      </w:pPr>
      <w:r w:rsidRPr="00793322">
        <w:rPr>
          <w:rFonts w:eastAsia="Calibri"/>
        </w:rPr>
        <w:t xml:space="preserve">Johnson, D. M. (1992). </w:t>
      </w:r>
      <w:r w:rsidRPr="00793322">
        <w:rPr>
          <w:rFonts w:eastAsia="Calibri"/>
          <w:i/>
          <w:iCs/>
        </w:rPr>
        <w:t xml:space="preserve">Approaches to </w:t>
      </w:r>
      <w:r>
        <w:rPr>
          <w:rFonts w:eastAsia="Calibri"/>
          <w:i/>
          <w:iCs/>
        </w:rPr>
        <w:t>R</w:t>
      </w:r>
      <w:r w:rsidRPr="00793322">
        <w:rPr>
          <w:rFonts w:eastAsia="Calibri"/>
          <w:i/>
          <w:iCs/>
        </w:rPr>
        <w:t xml:space="preserve">esearch in </w:t>
      </w:r>
      <w:r>
        <w:rPr>
          <w:rFonts w:eastAsia="Calibri"/>
          <w:i/>
          <w:iCs/>
        </w:rPr>
        <w:t>S</w:t>
      </w:r>
      <w:r w:rsidRPr="00793322">
        <w:rPr>
          <w:rFonts w:eastAsia="Calibri"/>
          <w:i/>
          <w:iCs/>
        </w:rPr>
        <w:t xml:space="preserve">econd </w:t>
      </w:r>
      <w:r>
        <w:rPr>
          <w:rFonts w:eastAsia="Calibri"/>
          <w:i/>
          <w:iCs/>
        </w:rPr>
        <w:t>L</w:t>
      </w:r>
      <w:r w:rsidRPr="00793322">
        <w:rPr>
          <w:rFonts w:eastAsia="Calibri"/>
          <w:i/>
          <w:iCs/>
        </w:rPr>
        <w:t xml:space="preserve">anguage </w:t>
      </w:r>
      <w:r>
        <w:rPr>
          <w:rFonts w:eastAsia="Calibri"/>
          <w:i/>
          <w:iCs/>
        </w:rPr>
        <w:t>L</w:t>
      </w:r>
      <w:r w:rsidRPr="00793322">
        <w:rPr>
          <w:rFonts w:eastAsia="Calibri"/>
          <w:i/>
          <w:iCs/>
        </w:rPr>
        <w:t>earning</w:t>
      </w:r>
      <w:r w:rsidRPr="00793322">
        <w:rPr>
          <w:rFonts w:eastAsia="Calibri"/>
        </w:rPr>
        <w:t>. White Plains, NY: Longman.</w:t>
      </w:r>
    </w:p>
    <w:p w14:paraId="7832A48D" w14:textId="77777777" w:rsidR="00A72CD6" w:rsidRPr="009F30A3" w:rsidRDefault="00A72CD6" w:rsidP="00A72CD6">
      <w:pPr>
        <w:ind w:left="720" w:hanging="720"/>
        <w:jc w:val="both"/>
        <w:rPr>
          <w:rFonts w:eastAsia="Arial Unicode MS"/>
          <w:color w:val="000000"/>
          <w:lang w:val="es-MX"/>
        </w:rPr>
      </w:pPr>
    </w:p>
    <w:p w14:paraId="49DFA624" w14:textId="77777777" w:rsidR="00A72CD6" w:rsidRPr="009F30A3" w:rsidRDefault="00A72CD6" w:rsidP="00A72CD6">
      <w:pPr>
        <w:pStyle w:val="BodyTextIndent"/>
        <w:ind w:left="720" w:hanging="720"/>
      </w:pPr>
      <w:bookmarkStart w:id="116" w:name="_Toc335915114"/>
      <w:r w:rsidRPr="009F30A3">
        <w:t xml:space="preserve">Kitano, H. (1969).  </w:t>
      </w:r>
      <w:r w:rsidRPr="009F30A3">
        <w:rPr>
          <w:i/>
        </w:rPr>
        <w:t xml:space="preserve">Japanese Americans: The </w:t>
      </w:r>
      <w:r>
        <w:rPr>
          <w:i/>
        </w:rPr>
        <w:t>E</w:t>
      </w:r>
      <w:r w:rsidRPr="009F30A3">
        <w:rPr>
          <w:i/>
        </w:rPr>
        <w:t xml:space="preserve">volution of a </w:t>
      </w:r>
      <w:r>
        <w:rPr>
          <w:i/>
        </w:rPr>
        <w:t>S</w:t>
      </w:r>
      <w:r w:rsidRPr="009F30A3">
        <w:rPr>
          <w:i/>
        </w:rPr>
        <w:t>ubculture</w:t>
      </w:r>
      <w:r w:rsidRPr="009F30A3">
        <w:t>.</w:t>
      </w:r>
      <w:r>
        <w:t xml:space="preserve">  </w:t>
      </w:r>
      <w:r w:rsidRPr="009F30A3">
        <w:t>Englewood Cliffs, New Jersey: Prentice Hall.</w:t>
      </w:r>
      <w:bookmarkEnd w:id="116"/>
    </w:p>
    <w:p w14:paraId="23F582BB" w14:textId="77777777" w:rsidR="00A72CD6" w:rsidRPr="009F30A3" w:rsidRDefault="00A72CD6" w:rsidP="00A72CD6"/>
    <w:p w14:paraId="1CA4F6A2" w14:textId="77777777" w:rsidR="00A72CD6" w:rsidRPr="00B65CBB" w:rsidRDefault="00A72CD6" w:rsidP="00A72CD6">
      <w:pPr>
        <w:rPr>
          <w:i/>
        </w:rPr>
      </w:pPr>
      <w:r w:rsidRPr="009F30A3">
        <w:t xml:space="preserve">Kloss, Heinz. (1998). </w:t>
      </w:r>
      <w:r w:rsidRPr="00B65CBB">
        <w:rPr>
          <w:i/>
        </w:rPr>
        <w:t xml:space="preserve">The American Bilingual Tradition. Language in Education: Theory </w:t>
      </w:r>
    </w:p>
    <w:p w14:paraId="7F966F40" w14:textId="77777777" w:rsidR="00A72CD6" w:rsidRPr="009F30A3" w:rsidRDefault="00A72CD6" w:rsidP="00A72CD6">
      <w:pPr>
        <w:ind w:left="720"/>
      </w:pPr>
      <w:r w:rsidRPr="00B65CBB">
        <w:rPr>
          <w:i/>
        </w:rPr>
        <w:t xml:space="preserve">and Practice </w:t>
      </w:r>
      <w:r w:rsidRPr="009F30A3">
        <w:t>No.</w:t>
      </w:r>
      <w:proofErr w:type="gramStart"/>
      <w:r w:rsidRPr="009F30A3">
        <w:t>88 .</w:t>
      </w:r>
      <w:proofErr w:type="gramEnd"/>
      <w:r w:rsidRPr="009F30A3">
        <w:t xml:space="preserve"> Washington D.C.</w:t>
      </w:r>
      <w:r>
        <w:t>:</w:t>
      </w:r>
      <w:r w:rsidRPr="009F30A3">
        <w:t xml:space="preserve"> Eric Clearinghouse on Languages and Linguistics.</w:t>
      </w:r>
    </w:p>
    <w:p w14:paraId="4936F89D" w14:textId="77777777" w:rsidR="00A72CD6" w:rsidRPr="009F30A3" w:rsidRDefault="00A72CD6" w:rsidP="00A72CD6">
      <w:pPr>
        <w:ind w:left="720"/>
      </w:pPr>
    </w:p>
    <w:p w14:paraId="5CEC7D5E" w14:textId="77777777" w:rsidR="00A72CD6" w:rsidRPr="009F30A3" w:rsidRDefault="00A72CD6" w:rsidP="00A72CD6">
      <w:pPr>
        <w:autoSpaceDE w:val="0"/>
        <w:autoSpaceDN w:val="0"/>
        <w:adjustRightInd w:val="0"/>
        <w:ind w:left="720" w:hanging="720"/>
        <w:rPr>
          <w:rFonts w:eastAsia="Calibri"/>
        </w:rPr>
      </w:pPr>
      <w:r w:rsidRPr="00793322">
        <w:rPr>
          <w:rFonts w:eastAsia="Calibri"/>
        </w:rPr>
        <w:t xml:space="preserve">Ladson-Billings, G. (1994). Who will </w:t>
      </w:r>
      <w:r>
        <w:rPr>
          <w:rFonts w:eastAsia="Calibri"/>
        </w:rPr>
        <w:t>T</w:t>
      </w:r>
      <w:r w:rsidRPr="00793322">
        <w:rPr>
          <w:rFonts w:eastAsia="Calibri"/>
        </w:rPr>
        <w:t xml:space="preserve">each our </w:t>
      </w:r>
      <w:r>
        <w:rPr>
          <w:rFonts w:eastAsia="Calibri"/>
        </w:rPr>
        <w:t>C</w:t>
      </w:r>
      <w:r w:rsidRPr="00793322">
        <w:rPr>
          <w:rFonts w:eastAsia="Calibri"/>
        </w:rPr>
        <w:t xml:space="preserve">hildren? Preparing </w:t>
      </w:r>
      <w:r>
        <w:rPr>
          <w:rFonts w:eastAsia="Calibri"/>
        </w:rPr>
        <w:t>T</w:t>
      </w:r>
      <w:r w:rsidRPr="00793322">
        <w:rPr>
          <w:rFonts w:eastAsia="Calibri"/>
        </w:rPr>
        <w:t xml:space="preserve">eachers to </w:t>
      </w:r>
      <w:r>
        <w:rPr>
          <w:rFonts w:eastAsia="Calibri"/>
        </w:rPr>
        <w:t>T</w:t>
      </w:r>
      <w:r w:rsidRPr="00793322">
        <w:rPr>
          <w:rFonts w:eastAsia="Calibri"/>
        </w:rPr>
        <w:t xml:space="preserve">each African American </w:t>
      </w:r>
      <w:r>
        <w:rPr>
          <w:rFonts w:eastAsia="Calibri"/>
        </w:rPr>
        <w:t>L</w:t>
      </w:r>
      <w:r w:rsidRPr="00793322">
        <w:rPr>
          <w:rFonts w:eastAsia="Calibri"/>
        </w:rPr>
        <w:t xml:space="preserve">earners. In E. Hollins, J. King, &amp; W. Hayman (Eds.), </w:t>
      </w:r>
      <w:r w:rsidRPr="00793322">
        <w:rPr>
          <w:rFonts w:eastAsia="Calibri"/>
          <w:i/>
          <w:iCs/>
        </w:rPr>
        <w:t xml:space="preserve">Teaching </w:t>
      </w:r>
      <w:r>
        <w:rPr>
          <w:rFonts w:eastAsia="Calibri"/>
          <w:i/>
          <w:iCs/>
        </w:rPr>
        <w:t>D</w:t>
      </w:r>
      <w:r w:rsidRPr="00793322">
        <w:rPr>
          <w:rFonts w:eastAsia="Calibri"/>
          <w:i/>
          <w:iCs/>
        </w:rPr>
        <w:t xml:space="preserve">iverse </w:t>
      </w:r>
      <w:r>
        <w:rPr>
          <w:rFonts w:eastAsia="Calibri"/>
          <w:i/>
          <w:iCs/>
        </w:rPr>
        <w:t>L</w:t>
      </w:r>
      <w:r w:rsidRPr="00793322">
        <w:rPr>
          <w:rFonts w:eastAsia="Calibri"/>
          <w:i/>
          <w:iCs/>
        </w:rPr>
        <w:t xml:space="preserve">earners: Formulating a </w:t>
      </w:r>
      <w:r>
        <w:rPr>
          <w:rFonts w:eastAsia="Calibri"/>
          <w:i/>
          <w:iCs/>
        </w:rPr>
        <w:t>K</w:t>
      </w:r>
      <w:r w:rsidRPr="00793322">
        <w:rPr>
          <w:rFonts w:eastAsia="Calibri"/>
          <w:i/>
          <w:iCs/>
        </w:rPr>
        <w:t xml:space="preserve">nowledge </w:t>
      </w:r>
      <w:r>
        <w:rPr>
          <w:rFonts w:eastAsia="Calibri"/>
          <w:i/>
          <w:iCs/>
        </w:rPr>
        <w:t>B</w:t>
      </w:r>
      <w:r w:rsidRPr="00793322">
        <w:rPr>
          <w:rFonts w:eastAsia="Calibri"/>
          <w:i/>
          <w:iCs/>
        </w:rPr>
        <w:t xml:space="preserve">ase for </w:t>
      </w:r>
      <w:r>
        <w:rPr>
          <w:rFonts w:eastAsia="Calibri"/>
          <w:i/>
          <w:iCs/>
        </w:rPr>
        <w:t>T</w:t>
      </w:r>
      <w:r w:rsidRPr="00793322">
        <w:rPr>
          <w:rFonts w:eastAsia="Calibri"/>
          <w:i/>
          <w:iCs/>
        </w:rPr>
        <w:t xml:space="preserve">eaching </w:t>
      </w:r>
      <w:r>
        <w:rPr>
          <w:rFonts w:eastAsia="Calibri"/>
          <w:i/>
          <w:iCs/>
        </w:rPr>
        <w:t>D</w:t>
      </w:r>
      <w:r w:rsidRPr="00793322">
        <w:rPr>
          <w:rFonts w:eastAsia="Calibri"/>
          <w:i/>
          <w:iCs/>
        </w:rPr>
        <w:t xml:space="preserve">iverse </w:t>
      </w:r>
      <w:r>
        <w:rPr>
          <w:rFonts w:eastAsia="Calibri"/>
          <w:i/>
          <w:iCs/>
        </w:rPr>
        <w:t>P</w:t>
      </w:r>
      <w:r w:rsidRPr="00793322">
        <w:rPr>
          <w:rFonts w:eastAsia="Calibri"/>
          <w:i/>
          <w:iCs/>
        </w:rPr>
        <w:t xml:space="preserve">opulations </w:t>
      </w:r>
      <w:r w:rsidRPr="00793322">
        <w:rPr>
          <w:rFonts w:eastAsia="Calibri"/>
        </w:rPr>
        <w:t>(pp. 129–158). Albany, NY: State University Press.</w:t>
      </w:r>
    </w:p>
    <w:p w14:paraId="77927349" w14:textId="77777777" w:rsidR="00A72CD6" w:rsidRPr="009F30A3" w:rsidRDefault="00A72CD6" w:rsidP="00A72CD6">
      <w:pPr>
        <w:autoSpaceDE w:val="0"/>
        <w:autoSpaceDN w:val="0"/>
        <w:adjustRightInd w:val="0"/>
        <w:ind w:firstLine="720"/>
        <w:rPr>
          <w:rFonts w:eastAsia="Calibri"/>
        </w:rPr>
      </w:pPr>
    </w:p>
    <w:p w14:paraId="485DA630" w14:textId="77777777" w:rsidR="00A72CD6" w:rsidRPr="009F30A3" w:rsidRDefault="00A72CD6" w:rsidP="00A72CD6">
      <w:pPr>
        <w:ind w:left="720" w:hanging="720"/>
      </w:pPr>
      <w:r w:rsidRPr="009F30A3">
        <w:rPr>
          <w:lang w:val="es-MX"/>
        </w:rPr>
        <w:t xml:space="preserve">Lavadenz, M. (2005). Como </w:t>
      </w:r>
      <w:r>
        <w:rPr>
          <w:lang w:val="es-MX"/>
        </w:rPr>
        <w:t>H</w:t>
      </w:r>
      <w:r w:rsidRPr="009F30A3">
        <w:rPr>
          <w:lang w:val="es-MX"/>
        </w:rPr>
        <w:t xml:space="preserve">ablar en </w:t>
      </w:r>
      <w:r>
        <w:rPr>
          <w:lang w:val="es-MX"/>
        </w:rPr>
        <w:t>S</w:t>
      </w:r>
      <w:r w:rsidRPr="009F30A3">
        <w:rPr>
          <w:lang w:val="es-MX"/>
        </w:rPr>
        <w:t xml:space="preserve">ilencio: Culture and </w:t>
      </w:r>
      <w:r>
        <w:rPr>
          <w:lang w:val="es-MX"/>
        </w:rPr>
        <w:t>L</w:t>
      </w:r>
      <w:r w:rsidRPr="009F30A3">
        <w:rPr>
          <w:lang w:val="es-MX"/>
        </w:rPr>
        <w:t xml:space="preserve">anguage </w:t>
      </w:r>
      <w:r>
        <w:rPr>
          <w:lang w:val="es-MX"/>
        </w:rPr>
        <w:t>I</w:t>
      </w:r>
      <w:r w:rsidRPr="009F30A3">
        <w:rPr>
          <w:lang w:val="es-MX"/>
        </w:rPr>
        <w:t xml:space="preserve">dentity of Central Americans in Los Angeles. In: Zentella, A. </w:t>
      </w:r>
      <w:r w:rsidRPr="009F30A3">
        <w:rPr>
          <w:i/>
          <w:iCs/>
        </w:rPr>
        <w:t>Latinos and Language Socialization in Families, Communities, and Schools: Anthro-political Perspectives</w:t>
      </w:r>
      <w:r w:rsidRPr="009F30A3">
        <w:t>. NY: SUNY Press.</w:t>
      </w:r>
    </w:p>
    <w:p w14:paraId="4BBD6437" w14:textId="77777777" w:rsidR="00A72CD6" w:rsidRPr="009F30A3" w:rsidRDefault="00A72CD6" w:rsidP="00A72CD6">
      <w:pPr>
        <w:ind w:left="720" w:hanging="720"/>
      </w:pPr>
    </w:p>
    <w:p w14:paraId="3BBA7795" w14:textId="77777777" w:rsidR="00A72CD6" w:rsidRPr="009F30A3" w:rsidRDefault="00A72CD6" w:rsidP="00A72CD6">
      <w:pPr>
        <w:ind w:left="720" w:hanging="720"/>
        <w:jc w:val="both"/>
        <w:rPr>
          <w:lang w:val="es-MX"/>
        </w:rPr>
      </w:pPr>
      <w:r w:rsidRPr="009F30A3">
        <w:rPr>
          <w:lang w:val="es-MX"/>
        </w:rPr>
        <w:t xml:space="preserve">Lavadenz, M &amp; Duque de Reyes, S. (2001-Segunda Edición).  </w:t>
      </w:r>
      <w:r w:rsidRPr="009F30A3">
        <w:rPr>
          <w:i/>
          <w:iCs/>
          <w:lang w:val="es-MX"/>
        </w:rPr>
        <w:t xml:space="preserve">Los Estándares de Lecto-Escritura en </w:t>
      </w:r>
      <w:proofErr w:type="gramStart"/>
      <w:r w:rsidRPr="009F30A3">
        <w:rPr>
          <w:i/>
          <w:iCs/>
          <w:lang w:val="es-MX"/>
        </w:rPr>
        <w:t>Español</w:t>
      </w:r>
      <w:proofErr w:type="gramEnd"/>
      <w:r w:rsidRPr="009F30A3">
        <w:rPr>
          <w:i/>
          <w:iCs/>
          <w:lang w:val="es-MX"/>
        </w:rPr>
        <w:t>, K-12</w:t>
      </w:r>
      <w:r w:rsidRPr="009F30A3">
        <w:rPr>
          <w:lang w:val="es-MX"/>
        </w:rPr>
        <w:t xml:space="preserve">.  </w:t>
      </w:r>
      <w:r>
        <w:rPr>
          <w:lang w:val="es-MX"/>
        </w:rPr>
        <w:t xml:space="preserve">San Diego, CA: </w:t>
      </w:r>
      <w:r w:rsidRPr="009F30A3">
        <w:rPr>
          <w:lang w:val="es-MX"/>
        </w:rPr>
        <w:t>San Diego County Office of Education.</w:t>
      </w:r>
    </w:p>
    <w:p w14:paraId="7B8A74A7" w14:textId="77777777" w:rsidR="00A72CD6" w:rsidRPr="009F30A3" w:rsidRDefault="00A72CD6" w:rsidP="00A72CD6"/>
    <w:p w14:paraId="09AA2F98"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Lemlech, J. K., &amp; Hertzog-Foliart, H. (1993, Fall). Linking </w:t>
      </w:r>
      <w:r>
        <w:rPr>
          <w:rFonts w:eastAsia="Calibri"/>
        </w:rPr>
        <w:t>S</w:t>
      </w:r>
      <w:r w:rsidRPr="00793322">
        <w:rPr>
          <w:rFonts w:eastAsia="Calibri"/>
        </w:rPr>
        <w:t xml:space="preserve">chool and </w:t>
      </w:r>
      <w:r>
        <w:rPr>
          <w:rFonts w:eastAsia="Calibri"/>
        </w:rPr>
        <w:t>U</w:t>
      </w:r>
      <w:r w:rsidRPr="00793322">
        <w:rPr>
          <w:rFonts w:eastAsia="Calibri"/>
        </w:rPr>
        <w:t xml:space="preserve">niversity </w:t>
      </w:r>
      <w:r>
        <w:rPr>
          <w:rFonts w:eastAsia="Calibri"/>
        </w:rPr>
        <w:t>t</w:t>
      </w:r>
      <w:r w:rsidRPr="00793322">
        <w:rPr>
          <w:rFonts w:eastAsia="Calibri"/>
        </w:rPr>
        <w:t xml:space="preserve">hrough </w:t>
      </w:r>
      <w:r>
        <w:rPr>
          <w:rFonts w:eastAsia="Calibri"/>
        </w:rPr>
        <w:t>C</w:t>
      </w:r>
      <w:r w:rsidRPr="00793322">
        <w:rPr>
          <w:rFonts w:eastAsia="Calibri"/>
        </w:rPr>
        <w:t xml:space="preserve">ollegial </w:t>
      </w:r>
      <w:r>
        <w:rPr>
          <w:rFonts w:eastAsia="Calibri"/>
        </w:rPr>
        <w:t>S</w:t>
      </w:r>
      <w:r w:rsidRPr="00793322">
        <w:rPr>
          <w:rFonts w:eastAsia="Calibri"/>
        </w:rPr>
        <w:t xml:space="preserve">tudent </w:t>
      </w:r>
      <w:r>
        <w:rPr>
          <w:rFonts w:eastAsia="Calibri"/>
        </w:rPr>
        <w:t>T</w:t>
      </w:r>
      <w:r w:rsidRPr="00793322">
        <w:rPr>
          <w:rFonts w:eastAsia="Calibri"/>
        </w:rPr>
        <w:t xml:space="preserve">eaching. </w:t>
      </w:r>
      <w:r w:rsidRPr="00793322">
        <w:rPr>
          <w:rFonts w:eastAsia="Calibri"/>
          <w:i/>
          <w:iCs/>
        </w:rPr>
        <w:t>Teacher Education Quarterly</w:t>
      </w:r>
      <w:r w:rsidRPr="00793322">
        <w:rPr>
          <w:rFonts w:eastAsia="Calibri"/>
        </w:rPr>
        <w:t xml:space="preserve">, </w:t>
      </w:r>
      <w:r w:rsidRPr="00793322">
        <w:rPr>
          <w:rFonts w:eastAsia="Calibri"/>
          <w:i/>
          <w:iCs/>
        </w:rPr>
        <w:t>20</w:t>
      </w:r>
      <w:r w:rsidRPr="00793322">
        <w:rPr>
          <w:rFonts w:eastAsia="Calibri"/>
        </w:rPr>
        <w:t>(4), 19–28.</w:t>
      </w:r>
    </w:p>
    <w:p w14:paraId="60F096AF" w14:textId="77777777" w:rsidR="00A72CD6" w:rsidRPr="00793322" w:rsidRDefault="00A72CD6" w:rsidP="00A72CD6">
      <w:pPr>
        <w:ind w:left="720" w:hanging="720"/>
      </w:pPr>
    </w:p>
    <w:p w14:paraId="08D1A7D2" w14:textId="77777777" w:rsidR="00A72CD6" w:rsidRDefault="00A72CD6" w:rsidP="00A72CD6">
      <w:pPr>
        <w:ind w:left="720" w:hanging="720"/>
      </w:pPr>
      <w:r w:rsidRPr="00DF05F6">
        <w:t xml:space="preserve">Lindholm-Leary, K, and Genesee, F., </w:t>
      </w:r>
      <w:r w:rsidRPr="00906FA6">
        <w:rPr>
          <w:rFonts w:ascii="Calibri" w:hAnsi="Calibri"/>
          <w:sz w:val="22"/>
          <w:szCs w:val="22"/>
        </w:rPr>
        <w:t xml:space="preserve">(In </w:t>
      </w:r>
      <w:proofErr w:type="gramStart"/>
      <w:r w:rsidRPr="00906FA6">
        <w:rPr>
          <w:rFonts w:ascii="Calibri" w:hAnsi="Calibri"/>
          <w:sz w:val="22"/>
          <w:szCs w:val="22"/>
        </w:rPr>
        <w:t>Press)</w:t>
      </w:r>
      <w:r w:rsidRPr="00DF05F6">
        <w:t xml:space="preserve"> </w:t>
      </w:r>
      <w:r>
        <w:t xml:space="preserve"> </w:t>
      </w:r>
      <w:r w:rsidRPr="00DF05F6">
        <w:t>Dual</w:t>
      </w:r>
      <w:proofErr w:type="gramEnd"/>
      <w:r w:rsidRPr="00DF05F6">
        <w:t xml:space="preserve"> Language Programs for English Learners</w:t>
      </w:r>
      <w:r>
        <w:t>.</w:t>
      </w:r>
      <w:r w:rsidRPr="00DF05F6">
        <w:t xml:space="preserve"> </w:t>
      </w:r>
      <w:r w:rsidRPr="00DF05F6">
        <w:rPr>
          <w:i/>
          <w:iCs/>
        </w:rPr>
        <w:t>Educating English Learners: Research-Based Approaches</w:t>
      </w:r>
      <w:r w:rsidRPr="00DF05F6">
        <w:t>. Sacramento: California Department of Education. 2009.</w:t>
      </w:r>
    </w:p>
    <w:p w14:paraId="6E1FDA82" w14:textId="77777777" w:rsidR="00A72CD6" w:rsidRDefault="00A72CD6" w:rsidP="00A72CD6">
      <w:pPr>
        <w:ind w:left="720" w:hanging="720"/>
      </w:pPr>
    </w:p>
    <w:p w14:paraId="570EA868" w14:textId="77777777" w:rsidR="00A72CD6" w:rsidRPr="00793322" w:rsidRDefault="00A72CD6" w:rsidP="00A72CD6">
      <w:pPr>
        <w:ind w:left="720" w:hanging="720"/>
      </w:pPr>
      <w:r w:rsidRPr="00793322">
        <w:t xml:space="preserve">Lindholm-Leary, K. (2001). </w:t>
      </w:r>
      <w:r w:rsidRPr="00793322">
        <w:rPr>
          <w:i/>
        </w:rPr>
        <w:t>Dual Language Education.</w:t>
      </w:r>
      <w:r w:rsidRPr="00793322">
        <w:t xml:space="preserve"> Clevedon: Multilingual Matters.</w:t>
      </w:r>
    </w:p>
    <w:p w14:paraId="685F8F4C" w14:textId="77777777" w:rsidR="00A72CD6" w:rsidRPr="00793322" w:rsidRDefault="00A72CD6" w:rsidP="00A72CD6"/>
    <w:p w14:paraId="35093791" w14:textId="77777777" w:rsidR="00A72CD6" w:rsidRPr="00793322" w:rsidRDefault="00A72CD6" w:rsidP="00A72CD6">
      <w:pPr>
        <w:ind w:left="720" w:hanging="720"/>
        <w:rPr>
          <w:rFonts w:eastAsia="Arial Unicode MS"/>
          <w:color w:val="000000"/>
          <w:lang w:val="es-MX"/>
        </w:rPr>
      </w:pPr>
      <w:r w:rsidRPr="00793322">
        <w:rPr>
          <w:rFonts w:eastAsia="Calibri"/>
          <w:color w:val="000000"/>
        </w:rPr>
        <w:t xml:space="preserve">Lipman, P. (1998). </w:t>
      </w:r>
      <w:r w:rsidRPr="00B65CBB">
        <w:rPr>
          <w:rFonts w:eastAsia="Calibri"/>
          <w:i/>
          <w:color w:val="000000"/>
        </w:rPr>
        <w:t xml:space="preserve">Race, class, and Power in </w:t>
      </w:r>
      <w:r>
        <w:rPr>
          <w:rFonts w:eastAsia="Calibri"/>
          <w:i/>
          <w:color w:val="000000"/>
        </w:rPr>
        <w:t>Sc</w:t>
      </w:r>
      <w:r w:rsidRPr="00B65CBB">
        <w:rPr>
          <w:rFonts w:eastAsia="Calibri"/>
          <w:i/>
          <w:color w:val="000000"/>
        </w:rPr>
        <w:t xml:space="preserve">hool </w:t>
      </w:r>
      <w:r>
        <w:rPr>
          <w:rFonts w:eastAsia="Calibri"/>
          <w:i/>
          <w:color w:val="000000"/>
        </w:rPr>
        <w:t>R</w:t>
      </w:r>
      <w:r w:rsidRPr="00B65CBB">
        <w:rPr>
          <w:rFonts w:eastAsia="Calibri"/>
          <w:i/>
          <w:color w:val="000000"/>
        </w:rPr>
        <w:t>estructuring</w:t>
      </w:r>
      <w:r w:rsidRPr="00793322">
        <w:rPr>
          <w:rFonts w:eastAsia="Calibri"/>
          <w:color w:val="000000"/>
        </w:rPr>
        <w:t>. Albany, NY: State University of New York Press</w:t>
      </w:r>
      <w:r w:rsidRPr="00793322">
        <w:rPr>
          <w:rFonts w:eastAsia="Arial Unicode MS"/>
          <w:color w:val="000000"/>
          <w:lang w:val="es-MX"/>
        </w:rPr>
        <w:t xml:space="preserve"> </w:t>
      </w:r>
    </w:p>
    <w:p w14:paraId="3DA5912A" w14:textId="77777777" w:rsidR="00A72CD6" w:rsidRPr="00793322" w:rsidRDefault="00A72CD6" w:rsidP="00A72CD6">
      <w:pPr>
        <w:autoSpaceDE w:val="0"/>
        <w:autoSpaceDN w:val="0"/>
        <w:adjustRightInd w:val="0"/>
        <w:ind w:firstLine="720"/>
        <w:rPr>
          <w:rFonts w:eastAsia="Arial Unicode MS"/>
          <w:color w:val="000000"/>
          <w:lang w:val="es-MX"/>
        </w:rPr>
      </w:pPr>
    </w:p>
    <w:p w14:paraId="13BEC9C8" w14:textId="77777777" w:rsidR="00A72CD6" w:rsidRPr="00793322" w:rsidRDefault="00A72CD6" w:rsidP="00A72CD6">
      <w:pPr>
        <w:autoSpaceDE w:val="0"/>
        <w:autoSpaceDN w:val="0"/>
        <w:adjustRightInd w:val="0"/>
        <w:rPr>
          <w:rFonts w:eastAsia="Calibri"/>
          <w:color w:val="000000"/>
        </w:rPr>
      </w:pPr>
      <w:r w:rsidRPr="00793322">
        <w:rPr>
          <w:rFonts w:eastAsia="Calibri"/>
          <w:color w:val="000000"/>
        </w:rPr>
        <w:t>Lippi-Gre</w:t>
      </w:r>
      <w:r>
        <w:rPr>
          <w:rFonts w:eastAsia="Calibri"/>
          <w:color w:val="000000"/>
        </w:rPr>
        <w:t xml:space="preserve">en, R. (2001). </w:t>
      </w:r>
      <w:r w:rsidRPr="00906FA6">
        <w:rPr>
          <w:rFonts w:eastAsia="Calibri"/>
          <w:i/>
          <w:color w:val="000000"/>
        </w:rPr>
        <w:t>English with an Accent.</w:t>
      </w:r>
      <w:r w:rsidRPr="00793322">
        <w:rPr>
          <w:rFonts w:eastAsia="Calibri"/>
          <w:color w:val="000000"/>
        </w:rPr>
        <w:t xml:space="preserve"> New York: Routledge, Inc.</w:t>
      </w:r>
    </w:p>
    <w:p w14:paraId="194FC91D" w14:textId="77777777" w:rsidR="00A72CD6" w:rsidRPr="00793322" w:rsidRDefault="00A72CD6" w:rsidP="00A72CD6">
      <w:pPr>
        <w:autoSpaceDE w:val="0"/>
        <w:autoSpaceDN w:val="0"/>
        <w:adjustRightInd w:val="0"/>
        <w:ind w:firstLine="720"/>
        <w:rPr>
          <w:rFonts w:eastAsia="Calibri"/>
          <w:color w:val="000000"/>
        </w:rPr>
      </w:pPr>
      <w:r w:rsidRPr="00793322">
        <w:rPr>
          <w:rFonts w:eastAsia="Calibri"/>
          <w:color w:val="000000"/>
        </w:rPr>
        <w:t xml:space="preserve">Lortie, D. C. (1975). </w:t>
      </w:r>
    </w:p>
    <w:p w14:paraId="24E30DA4" w14:textId="77777777" w:rsidR="00A72CD6" w:rsidRPr="00793322" w:rsidRDefault="00A72CD6" w:rsidP="00A72CD6">
      <w:pPr>
        <w:ind w:left="720" w:hanging="720"/>
        <w:rPr>
          <w:rFonts w:eastAsia="Arial Unicode MS"/>
          <w:color w:val="000000"/>
          <w:lang w:val="es-MX"/>
        </w:rPr>
      </w:pPr>
    </w:p>
    <w:p w14:paraId="358F1795" w14:textId="77777777" w:rsidR="00A72CD6" w:rsidRDefault="00A72CD6" w:rsidP="00A72CD6">
      <w:pPr>
        <w:ind w:left="720" w:hanging="720"/>
      </w:pPr>
      <w:r w:rsidRPr="00793322">
        <w:rPr>
          <w:rFonts w:eastAsia="Arial Unicode MS"/>
          <w:color w:val="000000"/>
          <w:lang w:val="es-MX"/>
        </w:rPr>
        <w:t xml:space="preserve">López, G. R., Scribner, J. D., &amp; Mahitivanichcha, K. (2001). </w:t>
      </w:r>
      <w:r w:rsidRPr="00793322">
        <w:rPr>
          <w:rFonts w:eastAsia="Arial Unicode MS"/>
          <w:color w:val="000000"/>
        </w:rPr>
        <w:t xml:space="preserve">Redefining </w:t>
      </w:r>
      <w:r>
        <w:rPr>
          <w:rFonts w:eastAsia="Arial Unicode MS"/>
          <w:color w:val="000000"/>
        </w:rPr>
        <w:t>P</w:t>
      </w:r>
      <w:r w:rsidRPr="00B65CBB">
        <w:rPr>
          <w:rStyle w:val="hit1"/>
          <w:rFonts w:eastAsia="Arial Unicode MS"/>
          <w:b w:val="0"/>
          <w:i w:val="0"/>
        </w:rPr>
        <w:t>arental</w:t>
      </w:r>
      <w:r w:rsidRPr="00B65CBB">
        <w:rPr>
          <w:rFonts w:eastAsia="Arial Unicode MS"/>
          <w:b/>
          <w:i/>
          <w:color w:val="000000"/>
        </w:rPr>
        <w:t xml:space="preserve"> </w:t>
      </w:r>
      <w:r>
        <w:rPr>
          <w:rFonts w:eastAsia="Arial Unicode MS"/>
          <w:color w:val="000000"/>
        </w:rPr>
        <w:t>In</w:t>
      </w:r>
      <w:r w:rsidRPr="00B65CBB">
        <w:rPr>
          <w:rStyle w:val="hit1"/>
          <w:rFonts w:eastAsia="Arial Unicode MS"/>
          <w:b w:val="0"/>
          <w:i w:val="0"/>
        </w:rPr>
        <w:t>volvement</w:t>
      </w:r>
      <w:r w:rsidRPr="00B65CBB">
        <w:rPr>
          <w:rFonts w:eastAsia="Arial Unicode MS"/>
          <w:b/>
          <w:color w:val="000000"/>
        </w:rPr>
        <w:t>:</w:t>
      </w:r>
      <w:r w:rsidRPr="00793322">
        <w:rPr>
          <w:rFonts w:eastAsia="Arial Unicode MS"/>
          <w:color w:val="000000"/>
        </w:rPr>
        <w:t xml:space="preserve"> Lessons from </w:t>
      </w:r>
      <w:r>
        <w:rPr>
          <w:rFonts w:eastAsia="Arial Unicode MS"/>
          <w:color w:val="000000"/>
        </w:rPr>
        <w:t>H</w:t>
      </w:r>
      <w:r w:rsidRPr="00793322">
        <w:rPr>
          <w:rFonts w:eastAsia="Arial Unicode MS"/>
          <w:color w:val="000000"/>
        </w:rPr>
        <w:t>igh-</w:t>
      </w:r>
      <w:r>
        <w:rPr>
          <w:rFonts w:eastAsia="Arial Unicode MS"/>
          <w:color w:val="000000"/>
        </w:rPr>
        <w:t>P</w:t>
      </w:r>
      <w:r w:rsidRPr="00793322">
        <w:rPr>
          <w:rFonts w:eastAsia="Arial Unicode MS"/>
          <w:color w:val="000000"/>
        </w:rPr>
        <w:t xml:space="preserve">erforming </w:t>
      </w:r>
      <w:r>
        <w:rPr>
          <w:rFonts w:eastAsia="Arial Unicode MS"/>
          <w:color w:val="000000"/>
        </w:rPr>
        <w:t>M</w:t>
      </w:r>
      <w:r w:rsidRPr="00793322">
        <w:rPr>
          <w:rFonts w:eastAsia="Arial Unicode MS"/>
          <w:color w:val="000000"/>
        </w:rPr>
        <w:t>igrant-</w:t>
      </w:r>
      <w:r>
        <w:rPr>
          <w:rFonts w:eastAsia="Arial Unicode MS"/>
          <w:color w:val="000000"/>
        </w:rPr>
        <w:t>I</w:t>
      </w:r>
      <w:r w:rsidRPr="00793322">
        <w:rPr>
          <w:rFonts w:eastAsia="Arial Unicode MS"/>
          <w:color w:val="000000"/>
        </w:rPr>
        <w:t xml:space="preserve">mpacted </w:t>
      </w:r>
      <w:r>
        <w:rPr>
          <w:rFonts w:eastAsia="Arial Unicode MS"/>
          <w:color w:val="000000"/>
        </w:rPr>
        <w:t>S</w:t>
      </w:r>
      <w:r w:rsidRPr="00793322">
        <w:rPr>
          <w:rFonts w:eastAsia="Arial Unicode MS"/>
          <w:color w:val="000000"/>
        </w:rPr>
        <w:t xml:space="preserve">chools. </w:t>
      </w:r>
      <w:r w:rsidRPr="00906FA6">
        <w:rPr>
          <w:rFonts w:eastAsia="Arial Unicode MS"/>
          <w:i/>
          <w:color w:val="000000"/>
        </w:rPr>
        <w:t>American Educational Research Journal,</w:t>
      </w:r>
      <w:r w:rsidRPr="00793322">
        <w:rPr>
          <w:rFonts w:eastAsia="Arial Unicode MS"/>
          <w:color w:val="000000"/>
        </w:rPr>
        <w:t xml:space="preserve"> 38, 253-288.</w:t>
      </w:r>
      <w:r w:rsidRPr="00793322">
        <w:t xml:space="preserve"> </w:t>
      </w:r>
    </w:p>
    <w:p w14:paraId="4D888226" w14:textId="77777777" w:rsidR="00A72CD6" w:rsidRDefault="00A72CD6" w:rsidP="00A72CD6">
      <w:pPr>
        <w:ind w:left="720" w:hanging="720"/>
      </w:pPr>
    </w:p>
    <w:p w14:paraId="08F5CF8A" w14:textId="77777777" w:rsidR="00A72CD6" w:rsidRPr="00793322" w:rsidRDefault="00A72CD6" w:rsidP="00A72CD6">
      <w:pPr>
        <w:ind w:left="720" w:hanging="720"/>
      </w:pPr>
      <w:r w:rsidRPr="00793322">
        <w:t xml:space="preserve">Olivios, E. (2006). </w:t>
      </w:r>
      <w:r w:rsidRPr="001A3161">
        <w:rPr>
          <w:i/>
        </w:rPr>
        <w:t>The Power of Parents</w:t>
      </w:r>
      <w:r w:rsidRPr="00793322">
        <w:t>. New York: Peter Lang.</w:t>
      </w:r>
    </w:p>
    <w:p w14:paraId="59278B8B" w14:textId="77777777" w:rsidR="00A72CD6" w:rsidRPr="00793322" w:rsidRDefault="00A72CD6" w:rsidP="00A72CD6">
      <w:pPr>
        <w:ind w:left="720" w:hanging="720"/>
      </w:pPr>
    </w:p>
    <w:p w14:paraId="5D2125FE"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Macclure, M. (1993). Arguing for </w:t>
      </w:r>
      <w:r>
        <w:rPr>
          <w:rFonts w:eastAsia="Calibri"/>
        </w:rPr>
        <w:t>Y</w:t>
      </w:r>
      <w:r w:rsidRPr="00793322">
        <w:rPr>
          <w:rFonts w:eastAsia="Calibri"/>
        </w:rPr>
        <w:t xml:space="preserve">our </w:t>
      </w:r>
      <w:r>
        <w:rPr>
          <w:rFonts w:eastAsia="Calibri"/>
        </w:rPr>
        <w:t>S</w:t>
      </w:r>
      <w:r w:rsidRPr="00793322">
        <w:rPr>
          <w:rFonts w:eastAsia="Calibri"/>
        </w:rPr>
        <w:t xml:space="preserve">elf: Identity as an organization principle in teachers’ </w:t>
      </w:r>
      <w:r>
        <w:rPr>
          <w:rFonts w:eastAsia="Calibri"/>
        </w:rPr>
        <w:t>Jobs and L</w:t>
      </w:r>
      <w:r w:rsidRPr="00793322">
        <w:rPr>
          <w:rFonts w:eastAsia="Calibri"/>
        </w:rPr>
        <w:t xml:space="preserve">ives. </w:t>
      </w:r>
      <w:r w:rsidRPr="00793322">
        <w:rPr>
          <w:rFonts w:eastAsia="Calibri"/>
          <w:i/>
          <w:iCs/>
        </w:rPr>
        <w:t>British Educational Research Journal</w:t>
      </w:r>
      <w:r w:rsidRPr="00793322">
        <w:rPr>
          <w:rFonts w:eastAsia="Calibri"/>
        </w:rPr>
        <w:t xml:space="preserve">, </w:t>
      </w:r>
      <w:r w:rsidRPr="00793322">
        <w:rPr>
          <w:rFonts w:eastAsia="Calibri"/>
          <w:i/>
          <w:iCs/>
        </w:rPr>
        <w:t>19</w:t>
      </w:r>
      <w:r w:rsidRPr="00793322">
        <w:rPr>
          <w:rFonts w:eastAsia="Calibri"/>
        </w:rPr>
        <w:t>, 311–322.</w:t>
      </w:r>
    </w:p>
    <w:p w14:paraId="5BBB5A96" w14:textId="77777777" w:rsidR="00A72CD6" w:rsidRPr="009F30A3" w:rsidRDefault="00A72CD6" w:rsidP="00A72CD6">
      <w:pPr>
        <w:autoSpaceDE w:val="0"/>
        <w:autoSpaceDN w:val="0"/>
        <w:adjustRightInd w:val="0"/>
        <w:ind w:firstLine="720"/>
        <w:rPr>
          <w:rFonts w:eastAsia="Calibri"/>
        </w:rPr>
      </w:pPr>
    </w:p>
    <w:p w14:paraId="3D8F1A1D" w14:textId="77777777" w:rsidR="00A72CD6" w:rsidRPr="009F30A3" w:rsidRDefault="00A72CD6" w:rsidP="00A72CD6">
      <w:pPr>
        <w:pStyle w:val="BodyTextIndent"/>
        <w:ind w:left="720" w:hanging="720"/>
      </w:pPr>
      <w:bookmarkStart w:id="117" w:name="_Toc335915115"/>
      <w:r w:rsidRPr="00793322">
        <w:t>Makaroff, J.</w:t>
      </w:r>
      <w:r w:rsidRPr="009F30A3">
        <w:t xml:space="preserve"> (1967).  America</w:t>
      </w:r>
      <w:r>
        <w:t>’s O</w:t>
      </w:r>
      <w:r w:rsidRPr="009F30A3">
        <w:t xml:space="preserve">ther </w:t>
      </w:r>
      <w:r>
        <w:t>R</w:t>
      </w:r>
      <w:r w:rsidRPr="009F30A3">
        <w:t xml:space="preserve">acial </w:t>
      </w:r>
      <w:r>
        <w:t>M</w:t>
      </w:r>
      <w:r w:rsidRPr="009F30A3">
        <w:t xml:space="preserve">inority: Japanese Americans.  </w:t>
      </w:r>
      <w:r w:rsidRPr="009F30A3">
        <w:rPr>
          <w:i/>
        </w:rPr>
        <w:t>Contemporary Review</w:t>
      </w:r>
      <w:r w:rsidRPr="009F30A3">
        <w:t>, 210: 310-314.</w:t>
      </w:r>
      <w:bookmarkEnd w:id="117"/>
    </w:p>
    <w:p w14:paraId="35E99A69" w14:textId="77777777" w:rsidR="00A72CD6" w:rsidRPr="009F30A3" w:rsidRDefault="00A72CD6" w:rsidP="00A72CD6">
      <w:pPr>
        <w:ind w:left="720" w:hanging="720"/>
      </w:pPr>
    </w:p>
    <w:p w14:paraId="5DD579BF" w14:textId="77777777" w:rsidR="00A72CD6" w:rsidRPr="00793322" w:rsidRDefault="00A72CD6" w:rsidP="00A72CD6">
      <w:pPr>
        <w:autoSpaceDE w:val="0"/>
        <w:autoSpaceDN w:val="0"/>
        <w:adjustRightInd w:val="0"/>
        <w:ind w:left="720" w:hanging="720"/>
        <w:rPr>
          <w:bCs/>
          <w:i/>
          <w:iCs/>
        </w:rPr>
      </w:pPr>
      <w:r w:rsidRPr="00793322">
        <w:t xml:space="preserve">Malakoff, M. &amp; Hakuta, K. (1990). History of Language Minority Education in the United States. In: </w:t>
      </w:r>
      <w:r w:rsidRPr="001A3161">
        <w:rPr>
          <w:bCs/>
        </w:rPr>
        <w:t>A.</w:t>
      </w:r>
      <w:r w:rsidRPr="00793322">
        <w:rPr>
          <w:rFonts w:ascii="Arial" w:hAnsi="Arial" w:cs="Arial"/>
          <w:bCs/>
        </w:rPr>
        <w:t xml:space="preserve"> </w:t>
      </w:r>
      <w:r w:rsidRPr="00793322">
        <w:t xml:space="preserve">Padilla, H. </w:t>
      </w:r>
      <w:r w:rsidRPr="00793322">
        <w:rPr>
          <w:bCs/>
        </w:rPr>
        <w:t xml:space="preserve">Fairchild, </w:t>
      </w:r>
      <w:r w:rsidRPr="00793322">
        <w:rPr>
          <w:rFonts w:ascii="Arial" w:hAnsi="Arial" w:cs="Arial"/>
        </w:rPr>
        <w:t xml:space="preserve">&amp; </w:t>
      </w:r>
      <w:r w:rsidRPr="00793322">
        <w:t xml:space="preserve">C. Valadez (Eds.), </w:t>
      </w:r>
      <w:r w:rsidRPr="00793322">
        <w:rPr>
          <w:bCs/>
          <w:i/>
          <w:iCs/>
        </w:rPr>
        <w:t>Advances</w:t>
      </w:r>
      <w:r w:rsidRPr="001A3161">
        <w:rPr>
          <w:bCs/>
          <w:i/>
          <w:iCs/>
        </w:rPr>
        <w:t xml:space="preserve"> </w:t>
      </w:r>
      <w:r w:rsidRPr="001A3161">
        <w:rPr>
          <w:i/>
        </w:rPr>
        <w:t>in</w:t>
      </w:r>
      <w:r w:rsidRPr="00793322">
        <w:t xml:space="preserve"> </w:t>
      </w:r>
      <w:r w:rsidRPr="00793322">
        <w:rPr>
          <w:bCs/>
          <w:i/>
          <w:iCs/>
        </w:rPr>
        <w:t>Language Education: Theory, Research,</w:t>
      </w:r>
      <w:r>
        <w:rPr>
          <w:bCs/>
          <w:i/>
          <w:iCs/>
        </w:rPr>
        <w:t xml:space="preserve"> </w:t>
      </w:r>
      <w:r w:rsidRPr="00793322">
        <w:rPr>
          <w:bCs/>
          <w:i/>
          <w:iCs/>
        </w:rPr>
        <w:t>and Practice.</w:t>
      </w:r>
      <w:r>
        <w:rPr>
          <w:bCs/>
          <w:i/>
          <w:iCs/>
        </w:rPr>
        <w:t xml:space="preserve"> </w:t>
      </w:r>
      <w:r w:rsidRPr="00793322">
        <w:rPr>
          <w:bCs/>
          <w:i/>
          <w:iCs/>
        </w:rPr>
        <w:t xml:space="preserve"> </w:t>
      </w:r>
      <w:r w:rsidRPr="00793322">
        <w:t>New York</w:t>
      </w:r>
      <w:r>
        <w:t>:</w:t>
      </w:r>
      <w:r w:rsidRPr="00793322">
        <w:t xml:space="preserve"> Sage Publications.</w:t>
      </w:r>
    </w:p>
    <w:p w14:paraId="61AC78CA" w14:textId="77777777" w:rsidR="00A72CD6" w:rsidRPr="00793322" w:rsidRDefault="00A72CD6" w:rsidP="00A72CD6"/>
    <w:p w14:paraId="30A2C682" w14:textId="77777777" w:rsidR="00A72CD6" w:rsidRPr="00793322" w:rsidRDefault="00A72CD6" w:rsidP="00A72CD6">
      <w:pPr>
        <w:ind w:left="720" w:hanging="720"/>
        <w:rPr>
          <w:rFonts w:eastAsia="Calibri"/>
          <w:color w:val="000000"/>
        </w:rPr>
      </w:pPr>
      <w:r w:rsidRPr="00793322">
        <w:rPr>
          <w:rFonts w:eastAsia="Calibri"/>
          <w:color w:val="000000"/>
        </w:rPr>
        <w:t xml:space="preserve">Manning, D. T. (1977). The </w:t>
      </w:r>
      <w:r>
        <w:rPr>
          <w:rFonts w:eastAsia="Calibri"/>
          <w:color w:val="000000"/>
        </w:rPr>
        <w:t>I</w:t>
      </w:r>
      <w:r w:rsidRPr="00793322">
        <w:rPr>
          <w:rFonts w:eastAsia="Calibri"/>
          <w:color w:val="000000"/>
        </w:rPr>
        <w:t xml:space="preserve">nfluence of </w:t>
      </w:r>
      <w:r>
        <w:rPr>
          <w:rFonts w:eastAsia="Calibri"/>
          <w:color w:val="000000"/>
        </w:rPr>
        <w:t>K</w:t>
      </w:r>
      <w:r w:rsidRPr="00793322">
        <w:rPr>
          <w:rFonts w:eastAsia="Calibri"/>
          <w:color w:val="000000"/>
        </w:rPr>
        <w:t xml:space="preserve">ey </w:t>
      </w:r>
      <w:r>
        <w:rPr>
          <w:rFonts w:eastAsia="Calibri"/>
          <w:color w:val="000000"/>
        </w:rPr>
        <w:t>I</w:t>
      </w:r>
      <w:r w:rsidRPr="00793322">
        <w:rPr>
          <w:rFonts w:eastAsia="Calibri"/>
          <w:color w:val="000000"/>
        </w:rPr>
        <w:t xml:space="preserve">ndividuals on </w:t>
      </w:r>
      <w:r>
        <w:rPr>
          <w:rFonts w:eastAsia="Calibri"/>
          <w:color w:val="000000"/>
        </w:rPr>
        <w:t>S</w:t>
      </w:r>
      <w:r w:rsidRPr="00793322">
        <w:rPr>
          <w:rFonts w:eastAsia="Calibri"/>
          <w:color w:val="000000"/>
        </w:rPr>
        <w:t xml:space="preserve">tudent </w:t>
      </w:r>
      <w:r>
        <w:rPr>
          <w:rFonts w:eastAsia="Calibri"/>
          <w:color w:val="000000"/>
        </w:rPr>
        <w:t>T</w:t>
      </w:r>
      <w:r w:rsidRPr="00793322">
        <w:rPr>
          <w:rFonts w:eastAsia="Calibri"/>
          <w:color w:val="000000"/>
        </w:rPr>
        <w:t xml:space="preserve">eachers in </w:t>
      </w:r>
      <w:r>
        <w:rPr>
          <w:rFonts w:eastAsia="Calibri"/>
          <w:color w:val="000000"/>
        </w:rPr>
        <w:t>U</w:t>
      </w:r>
      <w:r w:rsidRPr="00793322">
        <w:rPr>
          <w:rFonts w:eastAsia="Calibri"/>
          <w:color w:val="000000"/>
        </w:rPr>
        <w:t xml:space="preserve">rban and </w:t>
      </w:r>
      <w:r>
        <w:rPr>
          <w:rFonts w:eastAsia="Calibri"/>
          <w:color w:val="000000"/>
        </w:rPr>
        <w:t>S</w:t>
      </w:r>
      <w:r w:rsidRPr="00793322">
        <w:rPr>
          <w:rFonts w:eastAsia="Calibri"/>
          <w:color w:val="000000"/>
        </w:rPr>
        <w:t xml:space="preserve">uburban </w:t>
      </w:r>
      <w:r>
        <w:rPr>
          <w:rFonts w:eastAsia="Calibri"/>
          <w:color w:val="000000"/>
        </w:rPr>
        <w:t>S</w:t>
      </w:r>
      <w:r w:rsidRPr="00793322">
        <w:rPr>
          <w:rFonts w:eastAsia="Calibri"/>
          <w:color w:val="000000"/>
        </w:rPr>
        <w:t xml:space="preserve">ettings. </w:t>
      </w:r>
      <w:r w:rsidRPr="001A3161">
        <w:rPr>
          <w:rFonts w:eastAsia="Calibri"/>
          <w:i/>
          <w:color w:val="000000"/>
        </w:rPr>
        <w:t>The Teacher Educator</w:t>
      </w:r>
      <w:r w:rsidRPr="00793322">
        <w:rPr>
          <w:rFonts w:eastAsia="Calibri"/>
          <w:color w:val="000000"/>
        </w:rPr>
        <w:t>, 13(2), 2–8.</w:t>
      </w:r>
    </w:p>
    <w:p w14:paraId="6FA63CFE" w14:textId="77777777" w:rsidR="00A72CD6" w:rsidRPr="00793322" w:rsidRDefault="00A72CD6" w:rsidP="00A72CD6"/>
    <w:p w14:paraId="577EDF52" w14:textId="77777777" w:rsidR="00A72CD6" w:rsidRPr="009F30A3" w:rsidRDefault="00A72CD6" w:rsidP="00A72CD6">
      <w:pPr>
        <w:autoSpaceDE w:val="0"/>
        <w:autoSpaceDN w:val="0"/>
        <w:adjustRightInd w:val="0"/>
        <w:ind w:left="720" w:hanging="720"/>
        <w:rPr>
          <w:rFonts w:eastAsia="Calibri"/>
        </w:rPr>
      </w:pPr>
      <w:r w:rsidRPr="00793322">
        <w:rPr>
          <w:rFonts w:eastAsia="Calibri"/>
        </w:rPr>
        <w:t>Martinez, R. R., &amp; O</w:t>
      </w:r>
      <w:r>
        <w:rPr>
          <w:rFonts w:eastAsia="Calibri"/>
        </w:rPr>
        <w:t>’</w:t>
      </w:r>
      <w:r w:rsidRPr="00793322">
        <w:rPr>
          <w:rFonts w:eastAsia="Calibri"/>
        </w:rPr>
        <w:t xml:space="preserve">Donnell, J. (1993, April). </w:t>
      </w:r>
      <w:r w:rsidRPr="00793322">
        <w:rPr>
          <w:rFonts w:eastAsia="Calibri"/>
          <w:i/>
          <w:iCs/>
        </w:rPr>
        <w:t xml:space="preserve">Understanding the </w:t>
      </w:r>
      <w:r>
        <w:rPr>
          <w:rFonts w:eastAsia="Calibri"/>
          <w:i/>
          <w:iCs/>
        </w:rPr>
        <w:t>S</w:t>
      </w:r>
      <w:r w:rsidRPr="00793322">
        <w:rPr>
          <w:rFonts w:eastAsia="Calibri"/>
          <w:i/>
          <w:iCs/>
        </w:rPr>
        <w:t xml:space="preserve">upport </w:t>
      </w:r>
      <w:r>
        <w:rPr>
          <w:rFonts w:eastAsia="Calibri"/>
          <w:i/>
          <w:iCs/>
        </w:rPr>
        <w:t>S</w:t>
      </w:r>
      <w:r w:rsidRPr="00793322">
        <w:rPr>
          <w:rFonts w:eastAsia="Calibri"/>
          <w:i/>
          <w:iCs/>
        </w:rPr>
        <w:t xml:space="preserve">ystems of Hispanic </w:t>
      </w:r>
      <w:r>
        <w:rPr>
          <w:rFonts w:eastAsia="Calibri"/>
          <w:i/>
          <w:iCs/>
        </w:rPr>
        <w:t>T</w:t>
      </w:r>
      <w:r w:rsidRPr="00793322">
        <w:rPr>
          <w:rFonts w:eastAsia="Calibri"/>
          <w:i/>
          <w:iCs/>
        </w:rPr>
        <w:t xml:space="preserve">eacher </w:t>
      </w:r>
      <w:r>
        <w:rPr>
          <w:rFonts w:eastAsia="Calibri"/>
          <w:i/>
          <w:iCs/>
        </w:rPr>
        <w:t>C</w:t>
      </w:r>
      <w:r w:rsidRPr="00793322">
        <w:rPr>
          <w:rFonts w:eastAsia="Calibri"/>
          <w:i/>
          <w:iCs/>
        </w:rPr>
        <w:t xml:space="preserve">andidates: A study through </w:t>
      </w:r>
      <w:r>
        <w:rPr>
          <w:rFonts w:eastAsia="Calibri"/>
          <w:i/>
          <w:iCs/>
        </w:rPr>
        <w:t>I</w:t>
      </w:r>
      <w:r w:rsidRPr="00793322">
        <w:rPr>
          <w:rFonts w:eastAsia="Calibri"/>
          <w:i/>
          <w:iCs/>
        </w:rPr>
        <w:t xml:space="preserve">n-depth </w:t>
      </w:r>
      <w:r>
        <w:rPr>
          <w:rFonts w:eastAsia="Calibri"/>
          <w:i/>
          <w:iCs/>
        </w:rPr>
        <w:t>I</w:t>
      </w:r>
      <w:r w:rsidRPr="00793322">
        <w:rPr>
          <w:rFonts w:eastAsia="Calibri"/>
          <w:i/>
          <w:iCs/>
        </w:rPr>
        <w:t>nterviews</w:t>
      </w:r>
      <w:r w:rsidRPr="00793322">
        <w:rPr>
          <w:rFonts w:eastAsia="Calibri"/>
        </w:rPr>
        <w:t>. Paper presented at the Annual Meeting of the American Educational Research Association, Atlanta, GA, April 12–16.</w:t>
      </w:r>
    </w:p>
    <w:p w14:paraId="394A4127" w14:textId="77777777" w:rsidR="00A72CD6" w:rsidRPr="009F30A3" w:rsidRDefault="00A72CD6" w:rsidP="00A72CD6">
      <w:pPr>
        <w:autoSpaceDE w:val="0"/>
        <w:autoSpaceDN w:val="0"/>
        <w:adjustRightInd w:val="0"/>
        <w:ind w:left="720" w:hanging="720"/>
        <w:rPr>
          <w:rFonts w:eastAsia="Calibri"/>
        </w:rPr>
      </w:pPr>
    </w:p>
    <w:p w14:paraId="70B25260" w14:textId="77777777" w:rsidR="00A72CD6" w:rsidRPr="009F30A3" w:rsidRDefault="00A72CD6" w:rsidP="00A72CD6">
      <w:pPr>
        <w:autoSpaceDE w:val="0"/>
        <w:autoSpaceDN w:val="0"/>
        <w:adjustRightInd w:val="0"/>
        <w:ind w:left="720" w:hanging="720"/>
        <w:rPr>
          <w:rFonts w:eastAsia="Calibri"/>
        </w:rPr>
      </w:pPr>
      <w:r w:rsidRPr="009F30A3">
        <w:rPr>
          <w:rFonts w:eastAsia="Calibri"/>
        </w:rPr>
        <w:t xml:space="preserve">McKay, S. L., &amp; Wong, S. L. C. (Eds.). (1996). </w:t>
      </w:r>
      <w:r w:rsidRPr="009F30A3">
        <w:rPr>
          <w:rFonts w:eastAsia="Calibri"/>
          <w:i/>
          <w:iCs/>
        </w:rPr>
        <w:t xml:space="preserve">New </w:t>
      </w:r>
      <w:r>
        <w:rPr>
          <w:rFonts w:eastAsia="Calibri"/>
          <w:i/>
          <w:iCs/>
        </w:rPr>
        <w:t>I</w:t>
      </w:r>
      <w:r w:rsidRPr="009F30A3">
        <w:rPr>
          <w:rFonts w:eastAsia="Calibri"/>
          <w:i/>
          <w:iCs/>
        </w:rPr>
        <w:t>mmigrants in the United States</w:t>
      </w:r>
      <w:r w:rsidRPr="009F30A3">
        <w:rPr>
          <w:rFonts w:eastAsia="Calibri"/>
        </w:rPr>
        <w:t>. Cambridge, UK: Cambridge University Press.</w:t>
      </w:r>
    </w:p>
    <w:p w14:paraId="040F2B95" w14:textId="77777777" w:rsidR="00A72CD6" w:rsidRPr="009F30A3" w:rsidRDefault="00A72CD6" w:rsidP="00A72CD6"/>
    <w:p w14:paraId="5507AC99" w14:textId="77777777" w:rsidR="00A72CD6" w:rsidRDefault="00A72CD6" w:rsidP="00A72CD6">
      <w:pPr>
        <w:autoSpaceDE w:val="0"/>
        <w:autoSpaceDN w:val="0"/>
        <w:adjustRightInd w:val="0"/>
        <w:ind w:left="720" w:hanging="720"/>
        <w:rPr>
          <w:rFonts w:eastAsia="Calibri"/>
        </w:rPr>
      </w:pPr>
      <w:r w:rsidRPr="00793322">
        <w:rPr>
          <w:rFonts w:eastAsia="Calibri"/>
        </w:rPr>
        <w:t xml:space="preserve">Mitchell, A. (1998). African American teachers. Unique </w:t>
      </w:r>
      <w:r>
        <w:rPr>
          <w:rFonts w:eastAsia="Calibri"/>
        </w:rPr>
        <w:t>R</w:t>
      </w:r>
      <w:r w:rsidRPr="00793322">
        <w:rPr>
          <w:rFonts w:eastAsia="Calibri"/>
        </w:rPr>
        <w:t xml:space="preserve">oles and </w:t>
      </w:r>
      <w:r>
        <w:rPr>
          <w:rFonts w:eastAsia="Calibri"/>
        </w:rPr>
        <w:t>U</w:t>
      </w:r>
      <w:r w:rsidRPr="00793322">
        <w:rPr>
          <w:rFonts w:eastAsia="Calibri"/>
        </w:rPr>
        <w:t xml:space="preserve">niversal </w:t>
      </w:r>
      <w:r>
        <w:rPr>
          <w:rFonts w:eastAsia="Calibri"/>
        </w:rPr>
        <w:t>L</w:t>
      </w:r>
      <w:r w:rsidRPr="00793322">
        <w:rPr>
          <w:rFonts w:eastAsia="Calibri"/>
        </w:rPr>
        <w:t xml:space="preserve">essons. </w:t>
      </w:r>
    </w:p>
    <w:p w14:paraId="22754FA3" w14:textId="77777777" w:rsidR="00A72CD6" w:rsidRPr="009F30A3" w:rsidRDefault="00A72CD6" w:rsidP="00A72CD6">
      <w:pPr>
        <w:autoSpaceDE w:val="0"/>
        <w:autoSpaceDN w:val="0"/>
        <w:adjustRightInd w:val="0"/>
        <w:ind w:left="720"/>
        <w:rPr>
          <w:rFonts w:eastAsia="Calibri"/>
        </w:rPr>
      </w:pPr>
      <w:r w:rsidRPr="00793322">
        <w:rPr>
          <w:rFonts w:eastAsia="Calibri"/>
          <w:i/>
          <w:iCs/>
        </w:rPr>
        <w:t>Education and Urban Society</w:t>
      </w:r>
      <w:r w:rsidRPr="00793322">
        <w:rPr>
          <w:rFonts w:eastAsia="Calibri"/>
        </w:rPr>
        <w:t xml:space="preserve">, </w:t>
      </w:r>
      <w:r w:rsidRPr="00793322">
        <w:rPr>
          <w:rFonts w:eastAsia="Calibri"/>
          <w:i/>
          <w:iCs/>
        </w:rPr>
        <w:t>31</w:t>
      </w:r>
      <w:r w:rsidRPr="00793322">
        <w:rPr>
          <w:rFonts w:eastAsia="Calibri"/>
        </w:rPr>
        <w:t>(1) 104–122.</w:t>
      </w:r>
    </w:p>
    <w:p w14:paraId="097CE2D4" w14:textId="77777777" w:rsidR="00A72CD6" w:rsidRPr="009F30A3" w:rsidRDefault="00A72CD6" w:rsidP="00A72CD6"/>
    <w:p w14:paraId="1716A4DA" w14:textId="77777777" w:rsidR="00A72CD6" w:rsidRPr="009F30A3" w:rsidRDefault="00A72CD6" w:rsidP="00A72CD6">
      <w:pPr>
        <w:rPr>
          <w:i/>
        </w:rPr>
      </w:pPr>
      <w:r w:rsidRPr="009F30A3">
        <w:t xml:space="preserve">Moll, L.C., &amp; Diaz, R. (1987) Changes as the </w:t>
      </w:r>
      <w:r>
        <w:t>G</w:t>
      </w:r>
      <w:r w:rsidRPr="009F30A3">
        <w:t xml:space="preserve">oal of </w:t>
      </w:r>
      <w:r>
        <w:t>E</w:t>
      </w:r>
      <w:r w:rsidRPr="009F30A3">
        <w:t xml:space="preserve">ducational </w:t>
      </w:r>
      <w:r>
        <w:t>R</w:t>
      </w:r>
      <w:r w:rsidRPr="009F30A3">
        <w:t xml:space="preserve">esearch. </w:t>
      </w:r>
      <w:r w:rsidRPr="009F30A3">
        <w:rPr>
          <w:i/>
        </w:rPr>
        <w:t xml:space="preserve">Anthropology </w:t>
      </w:r>
    </w:p>
    <w:p w14:paraId="5ABEFDC2" w14:textId="77777777" w:rsidR="00A72CD6" w:rsidRPr="009F30A3" w:rsidRDefault="00A72CD6" w:rsidP="00A72CD6">
      <w:pPr>
        <w:ind w:firstLine="720"/>
      </w:pPr>
      <w:r w:rsidRPr="009F30A3">
        <w:rPr>
          <w:i/>
        </w:rPr>
        <w:t>and Education Quarterly</w:t>
      </w:r>
      <w:r w:rsidRPr="009F30A3">
        <w:t xml:space="preserve">, 18(4), 300-311. </w:t>
      </w:r>
    </w:p>
    <w:p w14:paraId="6C19EF03" w14:textId="77777777" w:rsidR="00A72CD6" w:rsidRPr="009F30A3" w:rsidRDefault="00A72CD6" w:rsidP="00A72CD6">
      <w:pPr>
        <w:ind w:left="720" w:hanging="720"/>
      </w:pPr>
    </w:p>
    <w:p w14:paraId="39F349BD" w14:textId="77777777" w:rsidR="00A72CD6" w:rsidRPr="009F30A3" w:rsidRDefault="00A72CD6" w:rsidP="00A72CD6">
      <w:pPr>
        <w:ind w:left="720" w:hanging="720"/>
      </w:pPr>
      <w:r w:rsidRPr="009F30A3">
        <w:t xml:space="preserve">Moll, L. &amp; Greenberg, J.B. (2005). Creating </w:t>
      </w:r>
      <w:r>
        <w:t>Z</w:t>
      </w:r>
      <w:r w:rsidRPr="009F30A3">
        <w:t xml:space="preserve">ones of </w:t>
      </w:r>
      <w:r>
        <w:t>P</w:t>
      </w:r>
      <w:r w:rsidRPr="009F30A3">
        <w:t xml:space="preserve">ossibilities: Combining </w:t>
      </w:r>
      <w:r>
        <w:t>S</w:t>
      </w:r>
      <w:r w:rsidRPr="009F30A3">
        <w:t xml:space="preserve">ocial </w:t>
      </w:r>
      <w:r>
        <w:t>C</w:t>
      </w:r>
      <w:r w:rsidRPr="009F30A3">
        <w:t xml:space="preserve">ontexts for </w:t>
      </w:r>
      <w:r>
        <w:t>I</w:t>
      </w:r>
      <w:r w:rsidRPr="009F30A3">
        <w:t xml:space="preserve">nstruction.  In </w:t>
      </w:r>
      <w:r w:rsidRPr="009F30A3">
        <w:rPr>
          <w:i/>
        </w:rPr>
        <w:t>Vygotsky and Education: Instructional Implications and Applications of Sociohistorical Psychology</w:t>
      </w:r>
      <w:r w:rsidRPr="009F30A3">
        <w:t>.  New York: Cambridge University Press.</w:t>
      </w:r>
    </w:p>
    <w:p w14:paraId="4560B70B" w14:textId="77777777" w:rsidR="00A72CD6" w:rsidRPr="009F30A3" w:rsidRDefault="00A72CD6" w:rsidP="00A72CD6">
      <w:pPr>
        <w:ind w:left="720" w:hanging="720"/>
      </w:pPr>
    </w:p>
    <w:p w14:paraId="2A5B039A" w14:textId="77777777" w:rsidR="00A72CD6" w:rsidRPr="00793322" w:rsidRDefault="00A72CD6" w:rsidP="00A72CD6">
      <w:pPr>
        <w:autoSpaceDE w:val="0"/>
        <w:autoSpaceDN w:val="0"/>
        <w:adjustRightInd w:val="0"/>
        <w:ind w:left="720" w:hanging="720"/>
        <w:rPr>
          <w:rFonts w:eastAsia="Calibri"/>
          <w:color w:val="000000"/>
        </w:rPr>
      </w:pPr>
      <w:r w:rsidRPr="00793322">
        <w:rPr>
          <w:rFonts w:eastAsia="Calibri"/>
          <w:color w:val="000000"/>
        </w:rPr>
        <w:t xml:space="preserve">Nguyen, D. H. (1972). </w:t>
      </w:r>
      <w:r w:rsidRPr="001A3161">
        <w:rPr>
          <w:rFonts w:eastAsia="Calibri"/>
          <w:i/>
          <w:color w:val="000000"/>
        </w:rPr>
        <w:t>Some Aspects of Vietnamese Culture</w:t>
      </w:r>
      <w:r w:rsidRPr="00793322">
        <w:rPr>
          <w:rFonts w:eastAsia="Calibri"/>
          <w:color w:val="000000"/>
        </w:rPr>
        <w:t>. Carbondale, IL: Center for Vietnamese Studies, University of Southern Illinois.</w:t>
      </w:r>
    </w:p>
    <w:p w14:paraId="00A60649" w14:textId="77777777" w:rsidR="00A72CD6" w:rsidRPr="00793322" w:rsidRDefault="00A72CD6" w:rsidP="00A72CD6">
      <w:pPr>
        <w:autoSpaceDE w:val="0"/>
        <w:autoSpaceDN w:val="0"/>
        <w:adjustRightInd w:val="0"/>
      </w:pPr>
    </w:p>
    <w:p w14:paraId="7C4BE21A" w14:textId="77777777" w:rsidR="00A72CD6" w:rsidRPr="00793322" w:rsidRDefault="00A72CD6" w:rsidP="00A72CD6">
      <w:pPr>
        <w:autoSpaceDE w:val="0"/>
        <w:autoSpaceDN w:val="0"/>
        <w:adjustRightInd w:val="0"/>
      </w:pPr>
      <w:r w:rsidRPr="00793322">
        <w:t>Nguyen, H. T. (2008a). Conceptions of Teaching by Five Vietnamese American Preservice</w:t>
      </w:r>
    </w:p>
    <w:p w14:paraId="062DF982" w14:textId="77777777" w:rsidR="00A72CD6" w:rsidRPr="00793322" w:rsidRDefault="00A72CD6" w:rsidP="00A72CD6">
      <w:pPr>
        <w:autoSpaceDE w:val="0"/>
        <w:autoSpaceDN w:val="0"/>
        <w:adjustRightInd w:val="0"/>
        <w:ind w:firstLine="720"/>
        <w:rPr>
          <w:b/>
        </w:rPr>
      </w:pPr>
      <w:r w:rsidRPr="00793322">
        <w:t xml:space="preserve">Teachers, </w:t>
      </w:r>
      <w:r w:rsidRPr="00793322">
        <w:rPr>
          <w:i/>
        </w:rPr>
        <w:t>Journal of Language, Identity &amp; Education, 7</w:t>
      </w:r>
      <w:r w:rsidRPr="00793322">
        <w:t xml:space="preserve">(2), 113 -136.  </w:t>
      </w:r>
    </w:p>
    <w:p w14:paraId="2CC9AB32" w14:textId="77777777" w:rsidR="00A72CD6" w:rsidRPr="00793322" w:rsidRDefault="00A72CD6" w:rsidP="00A72CD6">
      <w:pPr>
        <w:autoSpaceDE w:val="0"/>
        <w:autoSpaceDN w:val="0"/>
        <w:adjustRightInd w:val="0"/>
        <w:ind w:firstLine="720"/>
        <w:rPr>
          <w:b/>
        </w:rPr>
      </w:pPr>
    </w:p>
    <w:p w14:paraId="4FB97521" w14:textId="77777777" w:rsidR="00A72CD6" w:rsidRPr="00793322" w:rsidRDefault="00A72CD6" w:rsidP="00A72CD6">
      <w:pPr>
        <w:autoSpaceDE w:val="0"/>
        <w:autoSpaceDN w:val="0"/>
        <w:adjustRightInd w:val="0"/>
        <w:rPr>
          <w:i/>
        </w:rPr>
      </w:pPr>
      <w:r w:rsidRPr="00793322">
        <w:t xml:space="preserve">Nguyen, H. T. (2007). Educating Vietnamese American </w:t>
      </w:r>
      <w:r>
        <w:t>S</w:t>
      </w:r>
      <w:r w:rsidRPr="00793322">
        <w:t xml:space="preserve">tudents. </w:t>
      </w:r>
      <w:r w:rsidRPr="00793322">
        <w:rPr>
          <w:i/>
        </w:rPr>
        <w:t xml:space="preserve">Multicultural Education, </w:t>
      </w:r>
    </w:p>
    <w:p w14:paraId="18CF5645" w14:textId="77777777" w:rsidR="00A72CD6" w:rsidRPr="009F30A3" w:rsidRDefault="00A72CD6" w:rsidP="00A72CD6">
      <w:pPr>
        <w:autoSpaceDE w:val="0"/>
        <w:autoSpaceDN w:val="0"/>
        <w:adjustRightInd w:val="0"/>
        <w:rPr>
          <w:b/>
        </w:rPr>
      </w:pPr>
      <w:r w:rsidRPr="00793322">
        <w:rPr>
          <w:i/>
        </w:rPr>
        <w:tab/>
        <w:t>15</w:t>
      </w:r>
      <w:r w:rsidRPr="00793322">
        <w:t>(1),</w:t>
      </w:r>
      <w:r w:rsidRPr="00793322">
        <w:rPr>
          <w:i/>
        </w:rPr>
        <w:t xml:space="preserve"> </w:t>
      </w:r>
      <w:r w:rsidRPr="00793322">
        <w:t>23-26.</w:t>
      </w:r>
    </w:p>
    <w:p w14:paraId="652D6264" w14:textId="77777777" w:rsidR="00A72CD6" w:rsidRPr="009F30A3" w:rsidRDefault="00A72CD6" w:rsidP="00A72CD6">
      <w:pPr>
        <w:ind w:left="720" w:hanging="720"/>
      </w:pPr>
    </w:p>
    <w:p w14:paraId="1924818E" w14:textId="77777777" w:rsidR="00A72CD6" w:rsidRPr="009F30A3" w:rsidRDefault="00A72CD6" w:rsidP="00A72CD6">
      <w:pPr>
        <w:autoSpaceDE w:val="0"/>
        <w:autoSpaceDN w:val="0"/>
        <w:adjustRightInd w:val="0"/>
        <w:ind w:left="720" w:hanging="720"/>
        <w:rPr>
          <w:rFonts w:eastAsia="Calibri"/>
          <w:color w:val="000000"/>
        </w:rPr>
      </w:pPr>
      <w:r w:rsidRPr="009F30A3">
        <w:rPr>
          <w:rFonts w:eastAsia="Calibri"/>
          <w:color w:val="000000"/>
        </w:rPr>
        <w:t xml:space="preserve">Nguyen, M. H., &amp; Haines, D. W. (1996). Vietnamese. In: D. W. Haines (Ed.), </w:t>
      </w:r>
      <w:r>
        <w:rPr>
          <w:rFonts w:eastAsia="Calibri"/>
          <w:i/>
          <w:color w:val="000000"/>
        </w:rPr>
        <w:t xml:space="preserve">Refugees in America in </w:t>
      </w:r>
      <w:r w:rsidRPr="001A3161">
        <w:rPr>
          <w:rFonts w:eastAsia="Calibri"/>
          <w:i/>
          <w:color w:val="000000"/>
        </w:rPr>
        <w:t>the 1990s: A Reference Handbook</w:t>
      </w:r>
      <w:r w:rsidRPr="009F30A3">
        <w:rPr>
          <w:rFonts w:eastAsia="Calibri"/>
          <w:color w:val="000000"/>
        </w:rPr>
        <w:t xml:space="preserve"> (pp. 305–330). Westport, CT: Greenwood Press.</w:t>
      </w:r>
    </w:p>
    <w:p w14:paraId="288AD54B" w14:textId="77777777" w:rsidR="00A72CD6" w:rsidRPr="009F30A3" w:rsidRDefault="00A72CD6" w:rsidP="00A72CD6">
      <w:pPr>
        <w:ind w:left="720" w:hanging="720"/>
      </w:pPr>
    </w:p>
    <w:p w14:paraId="71255444" w14:textId="77777777" w:rsidR="00A72CD6" w:rsidRPr="009F30A3" w:rsidRDefault="00A72CD6" w:rsidP="00A72CD6">
      <w:pPr>
        <w:ind w:left="720" w:hanging="720"/>
      </w:pPr>
      <w:r w:rsidRPr="009F30A3">
        <w:t>No Child Left Behind Act of 2001</w:t>
      </w:r>
      <w:r w:rsidRPr="009F30A3">
        <w:rPr>
          <w:i/>
        </w:rPr>
        <w:t>.</w:t>
      </w:r>
      <w:r w:rsidRPr="009F30A3">
        <w:t xml:space="preserve"> (2002, July 11).  </w:t>
      </w:r>
      <w:r w:rsidRPr="009F30A3">
        <w:rPr>
          <w:i/>
        </w:rPr>
        <w:t>Summary and Overview</w:t>
      </w:r>
      <w:r w:rsidRPr="009F30A3">
        <w:t xml:space="preserve">.  </w:t>
      </w:r>
      <w:proofErr w:type="gramStart"/>
      <w:r w:rsidRPr="009F30A3">
        <w:t xml:space="preserve">Retrieved  </w:t>
      </w:r>
      <w:r w:rsidRPr="009F30A3">
        <w:tab/>
      </w:r>
      <w:proofErr w:type="gramEnd"/>
      <w:r w:rsidRPr="009F30A3">
        <w:t xml:space="preserve">March 25, 2003 from </w:t>
      </w:r>
      <w:hyperlink r:id="rId38" w:history="1">
        <w:r w:rsidRPr="009F30A3">
          <w:rPr>
            <w:rStyle w:val="Hyperlink"/>
          </w:rPr>
          <w:t>http://www.ed.gov/offices/OESE/esea/summary.html</w:t>
        </w:r>
      </w:hyperlink>
    </w:p>
    <w:p w14:paraId="401EB37B" w14:textId="77777777" w:rsidR="00A72CD6" w:rsidRPr="009F30A3" w:rsidRDefault="00A72CD6" w:rsidP="00A72CD6">
      <w:pPr>
        <w:ind w:left="720"/>
      </w:pPr>
      <w:r w:rsidRPr="009F30A3">
        <w:t xml:space="preserve">Romaine, S. (1999). </w:t>
      </w:r>
      <w:r w:rsidRPr="009F30A3">
        <w:rPr>
          <w:i/>
          <w:iCs/>
        </w:rPr>
        <w:t>Bilingualism</w:t>
      </w:r>
      <w:r w:rsidRPr="009F30A3">
        <w:t>.  Oxford University Press: England.</w:t>
      </w:r>
    </w:p>
    <w:p w14:paraId="74D85C68" w14:textId="77777777" w:rsidR="00A72CD6" w:rsidRPr="009F30A3" w:rsidRDefault="00A72CD6" w:rsidP="00A72CD6"/>
    <w:p w14:paraId="2B5E031C" w14:textId="77777777" w:rsidR="00A72CD6" w:rsidRPr="007D1ED3" w:rsidRDefault="00A72CD6" w:rsidP="00A72CD6">
      <w:pPr>
        <w:autoSpaceDE w:val="0"/>
        <w:autoSpaceDN w:val="0"/>
        <w:adjustRightInd w:val="0"/>
        <w:ind w:left="720" w:hanging="720"/>
      </w:pPr>
      <w:r w:rsidRPr="007D1ED3">
        <w:t>Petitto, L.A.</w:t>
      </w:r>
      <w:r>
        <w:t xml:space="preserve"> (</w:t>
      </w:r>
      <w:r w:rsidRPr="007D1ED3">
        <w:t xml:space="preserve">2005). How the </w:t>
      </w:r>
      <w:r>
        <w:t>B</w:t>
      </w:r>
      <w:r w:rsidRPr="007D1ED3">
        <w:t xml:space="preserve">rain </w:t>
      </w:r>
      <w:r>
        <w:t>B</w:t>
      </w:r>
      <w:r w:rsidRPr="007D1ED3">
        <w:t xml:space="preserve">egets </w:t>
      </w:r>
      <w:r>
        <w:t>L</w:t>
      </w:r>
      <w:r w:rsidRPr="007D1ED3">
        <w:t xml:space="preserve">anguage: On the </w:t>
      </w:r>
      <w:r>
        <w:t>N</w:t>
      </w:r>
      <w:r w:rsidRPr="007D1ED3">
        <w:t xml:space="preserve">eural </w:t>
      </w:r>
      <w:r>
        <w:t>T</w:t>
      </w:r>
      <w:r w:rsidRPr="007D1ED3">
        <w:t xml:space="preserve">issue </w:t>
      </w:r>
      <w:r>
        <w:t>U</w:t>
      </w:r>
      <w:r w:rsidRPr="007D1ED3">
        <w:t xml:space="preserve">nderlying </w:t>
      </w:r>
      <w:r>
        <w:t>H</w:t>
      </w:r>
      <w:r w:rsidRPr="007D1ED3">
        <w:t xml:space="preserve">uman </w:t>
      </w:r>
      <w:r>
        <w:t>L</w:t>
      </w:r>
      <w:r w:rsidRPr="007D1ED3">
        <w:t xml:space="preserve">anguage </w:t>
      </w:r>
      <w:r>
        <w:t>A</w:t>
      </w:r>
      <w:r w:rsidRPr="007D1ED3">
        <w:t xml:space="preserve">cquisition. </w:t>
      </w:r>
      <w:r>
        <w:t>I</w:t>
      </w:r>
      <w:r w:rsidRPr="007D1ED3">
        <w:t xml:space="preserve">n J. McGilvray (Ed.), </w:t>
      </w:r>
      <w:r w:rsidRPr="007D1ED3">
        <w:rPr>
          <w:i/>
        </w:rPr>
        <w:t>The Cambridge Companion to Chomsky,</w:t>
      </w:r>
      <w:r w:rsidRPr="007D1ED3">
        <w:t xml:space="preserve"> </w:t>
      </w:r>
      <w:r>
        <w:t>(</w:t>
      </w:r>
      <w:r w:rsidRPr="007D1ED3">
        <w:t>pp. 84-101</w:t>
      </w:r>
      <w:r>
        <w:t>)</w:t>
      </w:r>
      <w:r w:rsidRPr="007D1ED3">
        <w:t>.</w:t>
      </w:r>
      <w:r>
        <w:t xml:space="preserve"> </w:t>
      </w:r>
      <w:r w:rsidRPr="007D1ED3">
        <w:t>England</w:t>
      </w:r>
      <w:r>
        <w:t xml:space="preserve">: </w:t>
      </w:r>
      <w:r w:rsidRPr="007D1ED3">
        <w:t>Cambridge University Press</w:t>
      </w:r>
      <w:r>
        <w:t>.</w:t>
      </w:r>
      <w:r w:rsidRPr="007D1ED3">
        <w:t xml:space="preserve"> </w:t>
      </w:r>
    </w:p>
    <w:p w14:paraId="50AA106E" w14:textId="77777777" w:rsidR="00A72CD6" w:rsidRDefault="00A72CD6" w:rsidP="00A72CD6">
      <w:pPr>
        <w:autoSpaceDE w:val="0"/>
        <w:autoSpaceDN w:val="0"/>
        <w:adjustRightInd w:val="0"/>
        <w:ind w:left="720" w:hanging="720"/>
        <w:rPr>
          <w:rFonts w:eastAsia="Calibri"/>
          <w:highlight w:val="yellow"/>
        </w:rPr>
      </w:pPr>
    </w:p>
    <w:p w14:paraId="27451BD6" w14:textId="77777777" w:rsidR="00A72CD6" w:rsidRPr="00793322" w:rsidRDefault="00A72CD6" w:rsidP="00A72CD6">
      <w:pPr>
        <w:autoSpaceDE w:val="0"/>
        <w:autoSpaceDN w:val="0"/>
        <w:adjustRightInd w:val="0"/>
        <w:ind w:left="720" w:hanging="720"/>
        <w:rPr>
          <w:rFonts w:eastAsia="Calibri"/>
        </w:rPr>
      </w:pPr>
      <w:r w:rsidRPr="00793322">
        <w:rPr>
          <w:rFonts w:eastAsia="Calibri"/>
        </w:rPr>
        <w:lastRenderedPageBreak/>
        <w:t xml:space="preserve">Rong, X. L., &amp; Preissle, J. (1997). The </w:t>
      </w:r>
      <w:r>
        <w:rPr>
          <w:rFonts w:eastAsia="Calibri"/>
        </w:rPr>
        <w:t>Con</w:t>
      </w:r>
      <w:r w:rsidRPr="00793322">
        <w:rPr>
          <w:rFonts w:eastAsia="Calibri"/>
        </w:rPr>
        <w:t xml:space="preserve">tinuing </w:t>
      </w:r>
      <w:r>
        <w:rPr>
          <w:rFonts w:eastAsia="Calibri"/>
        </w:rPr>
        <w:t>D</w:t>
      </w:r>
      <w:r w:rsidRPr="00793322">
        <w:rPr>
          <w:rFonts w:eastAsia="Calibri"/>
        </w:rPr>
        <w:t xml:space="preserve">ecline in Asian American </w:t>
      </w:r>
      <w:r>
        <w:rPr>
          <w:rFonts w:eastAsia="Calibri"/>
        </w:rPr>
        <w:t>Te</w:t>
      </w:r>
      <w:r w:rsidRPr="00793322">
        <w:rPr>
          <w:rFonts w:eastAsia="Calibri"/>
        </w:rPr>
        <w:t xml:space="preserve">achers. </w:t>
      </w:r>
      <w:r w:rsidRPr="00793322">
        <w:rPr>
          <w:rFonts w:eastAsia="Calibri"/>
          <w:i/>
          <w:iCs/>
        </w:rPr>
        <w:t>American Educational Research Journal</w:t>
      </w:r>
      <w:r w:rsidRPr="00793322">
        <w:rPr>
          <w:rFonts w:eastAsia="Calibri"/>
        </w:rPr>
        <w:t xml:space="preserve">, </w:t>
      </w:r>
      <w:r w:rsidRPr="00793322">
        <w:rPr>
          <w:rFonts w:eastAsia="Calibri"/>
          <w:i/>
          <w:iCs/>
        </w:rPr>
        <w:t>34</w:t>
      </w:r>
      <w:r w:rsidRPr="00793322">
        <w:rPr>
          <w:rFonts w:eastAsia="Calibri"/>
        </w:rPr>
        <w:t>(2), 267–293.</w:t>
      </w:r>
    </w:p>
    <w:p w14:paraId="2149AC59" w14:textId="77777777" w:rsidR="00A72CD6" w:rsidRPr="00793322" w:rsidRDefault="00A72CD6" w:rsidP="00A72CD6">
      <w:pPr>
        <w:ind w:left="720" w:hanging="720"/>
      </w:pPr>
    </w:p>
    <w:p w14:paraId="22659060" w14:textId="77777777" w:rsidR="00A72CD6" w:rsidRDefault="00A72CD6" w:rsidP="00A72CD6">
      <w:pPr>
        <w:ind w:left="720" w:hanging="720"/>
      </w:pPr>
      <w:r w:rsidRPr="00793322">
        <w:t xml:space="preserve">Rumberger, R.W. &amp; Gandara, P. (2004). Seeking </w:t>
      </w:r>
      <w:r>
        <w:t>E</w:t>
      </w:r>
      <w:r w:rsidRPr="00793322">
        <w:t xml:space="preserve">quity in the </w:t>
      </w:r>
      <w:r>
        <w:t>E</w:t>
      </w:r>
      <w:r w:rsidRPr="00793322">
        <w:t xml:space="preserve">ducation of California’s English learners. </w:t>
      </w:r>
      <w:r w:rsidRPr="00793322">
        <w:rPr>
          <w:i/>
        </w:rPr>
        <w:t>Teachers College Record</w:t>
      </w:r>
      <w:r w:rsidRPr="00793322">
        <w:t>,106, 10, pp. 2032–2056. New</w:t>
      </w:r>
      <w:r>
        <w:t xml:space="preserve"> Yo</w:t>
      </w:r>
      <w:r w:rsidRPr="00793322">
        <w:t>rk, NY: Columbia University.</w:t>
      </w:r>
    </w:p>
    <w:p w14:paraId="2D6075A3" w14:textId="77777777" w:rsidR="00A72CD6" w:rsidRPr="00793322" w:rsidRDefault="00A72CD6" w:rsidP="00A72CD6">
      <w:pPr>
        <w:ind w:left="720" w:hanging="720"/>
        <w:rPr>
          <w:rFonts w:eastAsia="Arial Unicode MS"/>
          <w:color w:val="000000"/>
        </w:rPr>
      </w:pPr>
    </w:p>
    <w:p w14:paraId="688DC1FC" w14:textId="77777777" w:rsidR="00A72CD6" w:rsidRPr="009F30A3" w:rsidRDefault="00A72CD6" w:rsidP="00A72CD6">
      <w:pPr>
        <w:autoSpaceDE w:val="0"/>
        <w:autoSpaceDN w:val="0"/>
        <w:adjustRightInd w:val="0"/>
        <w:ind w:left="720" w:hanging="720"/>
        <w:rPr>
          <w:rFonts w:eastAsia="Calibri"/>
        </w:rPr>
      </w:pPr>
      <w:r w:rsidRPr="00793322">
        <w:rPr>
          <w:rFonts w:eastAsia="Calibri"/>
        </w:rPr>
        <w:t xml:space="preserve">Su, Z. (1996). Why </w:t>
      </w:r>
      <w:r>
        <w:rPr>
          <w:rFonts w:eastAsia="Calibri"/>
        </w:rPr>
        <w:t>Teach: Profiles and En</w:t>
      </w:r>
      <w:r w:rsidRPr="00793322">
        <w:rPr>
          <w:rFonts w:eastAsia="Calibri"/>
        </w:rPr>
        <w:t xml:space="preserve">try </w:t>
      </w:r>
      <w:r>
        <w:rPr>
          <w:rFonts w:eastAsia="Calibri"/>
        </w:rPr>
        <w:t>P</w:t>
      </w:r>
      <w:r w:rsidRPr="00793322">
        <w:rPr>
          <w:rFonts w:eastAsia="Calibri"/>
        </w:rPr>
        <w:t xml:space="preserve">erspectives of </w:t>
      </w:r>
      <w:r>
        <w:rPr>
          <w:rFonts w:eastAsia="Calibri"/>
        </w:rPr>
        <w:t>M</w:t>
      </w:r>
      <w:r w:rsidRPr="00793322">
        <w:rPr>
          <w:rFonts w:eastAsia="Calibri"/>
        </w:rPr>
        <w:t xml:space="preserve">inority </w:t>
      </w:r>
      <w:r>
        <w:rPr>
          <w:rFonts w:eastAsia="Calibri"/>
        </w:rPr>
        <w:t>S</w:t>
      </w:r>
      <w:r w:rsidRPr="00793322">
        <w:rPr>
          <w:rFonts w:eastAsia="Calibri"/>
        </w:rPr>
        <w:t xml:space="preserve">tudents as </w:t>
      </w:r>
      <w:r>
        <w:rPr>
          <w:rFonts w:eastAsia="Calibri"/>
        </w:rPr>
        <w:t>B</w:t>
      </w:r>
      <w:r w:rsidRPr="00793322">
        <w:rPr>
          <w:rFonts w:eastAsia="Calibri"/>
        </w:rPr>
        <w:t xml:space="preserve">ecoming </w:t>
      </w:r>
      <w:r>
        <w:rPr>
          <w:rFonts w:eastAsia="Calibri"/>
        </w:rPr>
        <w:t>T</w:t>
      </w:r>
      <w:r w:rsidRPr="00793322">
        <w:rPr>
          <w:rFonts w:eastAsia="Calibri"/>
        </w:rPr>
        <w:t xml:space="preserve">eachers. </w:t>
      </w:r>
      <w:r w:rsidRPr="00793322">
        <w:rPr>
          <w:rFonts w:eastAsia="Calibri"/>
          <w:i/>
          <w:iCs/>
        </w:rPr>
        <w:t>Journal of Research and Development in Education</w:t>
      </w:r>
      <w:r w:rsidRPr="00793322">
        <w:rPr>
          <w:rFonts w:eastAsia="Calibri"/>
        </w:rPr>
        <w:t xml:space="preserve">, </w:t>
      </w:r>
      <w:r w:rsidRPr="00793322">
        <w:rPr>
          <w:rFonts w:eastAsia="Calibri"/>
          <w:i/>
          <w:iCs/>
        </w:rPr>
        <w:t>29</w:t>
      </w:r>
      <w:r w:rsidRPr="00793322">
        <w:rPr>
          <w:rFonts w:eastAsia="Calibri"/>
        </w:rPr>
        <w:t>(3), 117–133.</w:t>
      </w:r>
    </w:p>
    <w:p w14:paraId="2157BD3C" w14:textId="77777777" w:rsidR="00A72CD6" w:rsidRPr="009F30A3" w:rsidRDefault="00A72CD6" w:rsidP="00A72CD6">
      <w:pPr>
        <w:ind w:left="720" w:hanging="720"/>
        <w:jc w:val="both"/>
      </w:pPr>
    </w:p>
    <w:p w14:paraId="3E0374B9" w14:textId="77777777" w:rsidR="00A72CD6" w:rsidRPr="009F30A3" w:rsidRDefault="00A72CD6" w:rsidP="00A72CD6">
      <w:pPr>
        <w:ind w:left="720" w:hanging="720"/>
        <w:jc w:val="both"/>
      </w:pPr>
      <w:r w:rsidRPr="009F30A3">
        <w:t xml:space="preserve">Santa Ana. </w:t>
      </w:r>
      <w:proofErr w:type="gramStart"/>
      <w:r w:rsidRPr="009F30A3">
        <w:t>O.(</w:t>
      </w:r>
      <w:proofErr w:type="gramEnd"/>
      <w:r w:rsidRPr="009F30A3">
        <w:t>1993). Chicano English and the Nature of the Chicano Language Setting.</w:t>
      </w:r>
      <w:r>
        <w:t xml:space="preserve"> </w:t>
      </w:r>
      <w:r w:rsidRPr="009F30A3">
        <w:rPr>
          <w:i/>
          <w:iCs/>
        </w:rPr>
        <w:t>The Hispanic Journal of Behavioral Sciences, V 15,</w:t>
      </w:r>
      <w:r w:rsidRPr="009F30A3">
        <w:t xml:space="preserve"> N 1. </w:t>
      </w:r>
      <w:r>
        <w:t xml:space="preserve"> </w:t>
      </w:r>
      <w:r w:rsidRPr="009F30A3">
        <w:t>California: Sage Publications</w:t>
      </w:r>
    </w:p>
    <w:p w14:paraId="25A1B374" w14:textId="77777777" w:rsidR="00A72CD6" w:rsidRPr="009F30A3" w:rsidRDefault="00A72CD6" w:rsidP="00A72CD6">
      <w:pPr>
        <w:ind w:left="720" w:hanging="720"/>
        <w:rPr>
          <w:rFonts w:eastAsia="Arial Unicode MS"/>
          <w:color w:val="000000"/>
        </w:rPr>
      </w:pPr>
    </w:p>
    <w:p w14:paraId="476E1F3D" w14:textId="77777777" w:rsidR="00A72CD6" w:rsidRPr="009F30A3" w:rsidRDefault="00A72CD6" w:rsidP="00A72CD6">
      <w:pPr>
        <w:autoSpaceDE w:val="0"/>
        <w:autoSpaceDN w:val="0"/>
        <w:adjustRightInd w:val="0"/>
        <w:ind w:left="720" w:hanging="720"/>
        <w:rPr>
          <w:rFonts w:eastAsia="Calibri"/>
          <w:color w:val="000000"/>
        </w:rPr>
      </w:pPr>
      <w:r w:rsidRPr="009F30A3">
        <w:rPr>
          <w:rFonts w:eastAsia="Calibri"/>
          <w:color w:val="000000"/>
        </w:rPr>
        <w:t xml:space="preserve">Seperson, M. A., &amp; Joyce, B. R. (1973). Teaching </w:t>
      </w:r>
      <w:r>
        <w:rPr>
          <w:rFonts w:eastAsia="Calibri"/>
          <w:color w:val="000000"/>
        </w:rPr>
        <w:t>S</w:t>
      </w:r>
      <w:r w:rsidRPr="009F30A3">
        <w:rPr>
          <w:rFonts w:eastAsia="Calibri"/>
          <w:color w:val="000000"/>
        </w:rPr>
        <w:t xml:space="preserve">tyles of </w:t>
      </w:r>
      <w:r>
        <w:rPr>
          <w:rFonts w:eastAsia="Calibri"/>
          <w:color w:val="000000"/>
        </w:rPr>
        <w:t>S</w:t>
      </w:r>
      <w:r w:rsidRPr="009F30A3">
        <w:rPr>
          <w:rFonts w:eastAsia="Calibri"/>
          <w:color w:val="000000"/>
        </w:rPr>
        <w:t xml:space="preserve">tudent </w:t>
      </w:r>
      <w:r>
        <w:rPr>
          <w:rFonts w:eastAsia="Calibri"/>
          <w:color w:val="000000"/>
        </w:rPr>
        <w:t>T</w:t>
      </w:r>
      <w:r w:rsidRPr="009F30A3">
        <w:rPr>
          <w:rFonts w:eastAsia="Calibri"/>
          <w:color w:val="000000"/>
        </w:rPr>
        <w:t xml:space="preserve">eachers as </w:t>
      </w:r>
      <w:r>
        <w:rPr>
          <w:rFonts w:eastAsia="Calibri"/>
          <w:color w:val="000000"/>
        </w:rPr>
        <w:t>R</w:t>
      </w:r>
      <w:r w:rsidRPr="009F30A3">
        <w:rPr>
          <w:rFonts w:eastAsia="Calibri"/>
          <w:color w:val="000000"/>
        </w:rPr>
        <w:t xml:space="preserve">elated to </w:t>
      </w:r>
      <w:proofErr w:type="gramStart"/>
      <w:r w:rsidRPr="009F30A3">
        <w:rPr>
          <w:rFonts w:eastAsia="Calibri"/>
          <w:color w:val="000000"/>
        </w:rPr>
        <w:t>those</w:t>
      </w:r>
      <w:proofErr w:type="gramEnd"/>
      <w:r w:rsidRPr="009F30A3">
        <w:rPr>
          <w:rFonts w:eastAsia="Calibri"/>
          <w:color w:val="000000"/>
        </w:rPr>
        <w:t xml:space="preserve"> of </w:t>
      </w:r>
      <w:r>
        <w:rPr>
          <w:rFonts w:eastAsia="Calibri"/>
          <w:color w:val="000000"/>
        </w:rPr>
        <w:t>C</w:t>
      </w:r>
      <w:r w:rsidRPr="009F30A3">
        <w:rPr>
          <w:rFonts w:eastAsia="Calibri"/>
          <w:color w:val="000000"/>
        </w:rPr>
        <w:t xml:space="preserve">ooperating </w:t>
      </w:r>
      <w:r>
        <w:rPr>
          <w:rFonts w:eastAsia="Calibri"/>
          <w:color w:val="000000"/>
        </w:rPr>
        <w:t>T</w:t>
      </w:r>
      <w:r w:rsidRPr="009F30A3">
        <w:rPr>
          <w:rFonts w:eastAsia="Calibri"/>
          <w:color w:val="000000"/>
        </w:rPr>
        <w:t xml:space="preserve">eachers. </w:t>
      </w:r>
      <w:r w:rsidRPr="00BB5E39">
        <w:rPr>
          <w:rFonts w:eastAsia="Calibri"/>
          <w:i/>
          <w:color w:val="000000"/>
        </w:rPr>
        <w:t>Educational Leadership Research Supplement</w:t>
      </w:r>
      <w:r w:rsidRPr="009F30A3">
        <w:rPr>
          <w:rFonts w:eastAsia="Calibri"/>
          <w:color w:val="000000"/>
        </w:rPr>
        <w:t xml:space="preserve"> 146–151.</w:t>
      </w:r>
    </w:p>
    <w:p w14:paraId="66B1468B" w14:textId="77777777" w:rsidR="00A72CD6" w:rsidRPr="009F30A3" w:rsidRDefault="00A72CD6" w:rsidP="00A72CD6">
      <w:pPr>
        <w:ind w:left="720" w:hanging="720"/>
        <w:jc w:val="both"/>
      </w:pPr>
    </w:p>
    <w:p w14:paraId="39EC251A" w14:textId="77777777" w:rsidR="00A72CD6" w:rsidRPr="009F30A3" w:rsidRDefault="00A72CD6" w:rsidP="00A72CD6">
      <w:pPr>
        <w:ind w:left="720" w:hanging="720"/>
        <w:jc w:val="both"/>
      </w:pPr>
      <w:r w:rsidRPr="009F30A3">
        <w:t xml:space="preserve">Shoris. E.  (1992). </w:t>
      </w:r>
      <w:r w:rsidRPr="009F30A3">
        <w:rPr>
          <w:i/>
          <w:iCs/>
        </w:rPr>
        <w:t xml:space="preserve">Latinos: A Biography of the People. </w:t>
      </w:r>
      <w:r w:rsidRPr="009F30A3">
        <w:t xml:space="preserve"> New York:  W.W. Norton &amp; Company.</w:t>
      </w:r>
    </w:p>
    <w:p w14:paraId="335831C9" w14:textId="77777777" w:rsidR="00A72CD6" w:rsidRPr="009F30A3" w:rsidRDefault="00A72CD6" w:rsidP="00A72CD6">
      <w:pPr>
        <w:ind w:left="720" w:hanging="720"/>
        <w:rPr>
          <w:rFonts w:eastAsia="Arial Unicode MS"/>
          <w:color w:val="000000"/>
        </w:rPr>
      </w:pPr>
    </w:p>
    <w:p w14:paraId="597AAF9B" w14:textId="77777777" w:rsidR="00A72CD6" w:rsidRPr="009F30A3" w:rsidRDefault="00A72CD6" w:rsidP="00A72CD6">
      <w:pPr>
        <w:ind w:left="720" w:hanging="720"/>
      </w:pPr>
      <w:r w:rsidRPr="009F30A3">
        <w:t xml:space="preserve">Soltero, S.W. (2004). </w:t>
      </w:r>
      <w:r w:rsidRPr="009F30A3">
        <w:rPr>
          <w:i/>
        </w:rPr>
        <w:t xml:space="preserve">Dual Language: Teaching and Learning in </w:t>
      </w:r>
      <w:r>
        <w:rPr>
          <w:i/>
        </w:rPr>
        <w:t>tw</w:t>
      </w:r>
      <w:r w:rsidRPr="009F30A3">
        <w:rPr>
          <w:i/>
        </w:rPr>
        <w:t xml:space="preserve">o </w:t>
      </w:r>
      <w:r>
        <w:rPr>
          <w:i/>
        </w:rPr>
        <w:t>l</w:t>
      </w:r>
      <w:r w:rsidRPr="009F30A3">
        <w:rPr>
          <w:i/>
        </w:rPr>
        <w:t>anguages</w:t>
      </w:r>
      <w:r w:rsidRPr="009F30A3">
        <w:t>. Boston: Pearson Education.</w:t>
      </w:r>
    </w:p>
    <w:p w14:paraId="52AFA101" w14:textId="77777777" w:rsidR="00A72CD6" w:rsidRPr="009F30A3" w:rsidRDefault="00A72CD6" w:rsidP="00A72CD6"/>
    <w:p w14:paraId="36C07915" w14:textId="77777777" w:rsidR="00A72CD6" w:rsidRPr="009F30A3" w:rsidRDefault="00A72CD6" w:rsidP="00A72CD6">
      <w:pPr>
        <w:ind w:left="720" w:hanging="720"/>
      </w:pPr>
      <w:r w:rsidRPr="009F30A3">
        <w:t xml:space="preserve">Thomas, WP &amp; Collier, VP (2002). </w:t>
      </w:r>
      <w:r w:rsidRPr="00BB5E39">
        <w:rPr>
          <w:i/>
        </w:rPr>
        <w:t>A National Study of School Effectiveness for Language Minority Students’ Long Term Academic Achievement. Final Report</w:t>
      </w:r>
      <w:r w:rsidRPr="009F30A3">
        <w:t xml:space="preserve">. Washington, DC: Center for </w:t>
      </w:r>
      <w:r>
        <w:t>R</w:t>
      </w:r>
      <w:r w:rsidRPr="009F30A3">
        <w:t>esearch on Education Diversity &amp; Excellence.</w:t>
      </w:r>
    </w:p>
    <w:p w14:paraId="10F1ECAE" w14:textId="77777777" w:rsidR="00A72CD6" w:rsidRPr="009F30A3" w:rsidRDefault="00A72CD6" w:rsidP="00A72CD6">
      <w:pPr>
        <w:ind w:left="720" w:hanging="720"/>
      </w:pPr>
    </w:p>
    <w:p w14:paraId="2C117EB8" w14:textId="77777777" w:rsidR="00A72CD6" w:rsidRPr="009F30A3" w:rsidRDefault="00A72CD6" w:rsidP="00A72CD6">
      <w:pPr>
        <w:ind w:left="720" w:hanging="720"/>
        <w:rPr>
          <w:rFonts w:eastAsia="Arial Unicode MS"/>
          <w:color w:val="000000"/>
        </w:rPr>
      </w:pPr>
      <w:r w:rsidRPr="009F30A3">
        <w:rPr>
          <w:rFonts w:eastAsia="Arial Unicode MS"/>
          <w:color w:val="000000"/>
        </w:rPr>
        <w:t xml:space="preserve">Tierney, W. G. (2002). Parents and families in precollege preparation: The lack of connection between research and practice. </w:t>
      </w:r>
      <w:r w:rsidRPr="00BB5E39">
        <w:rPr>
          <w:rFonts w:eastAsia="Arial Unicode MS"/>
          <w:i/>
          <w:color w:val="000000"/>
        </w:rPr>
        <w:t>Educational Policy</w:t>
      </w:r>
      <w:r w:rsidRPr="009F30A3">
        <w:rPr>
          <w:rFonts w:eastAsia="Arial Unicode MS"/>
          <w:color w:val="000000"/>
        </w:rPr>
        <w:t>, 16, 588-606.</w:t>
      </w:r>
    </w:p>
    <w:p w14:paraId="36371277" w14:textId="77777777" w:rsidR="00A72CD6" w:rsidRPr="009F30A3" w:rsidRDefault="00A72CD6" w:rsidP="00A72C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CC2CDA" w14:textId="77777777" w:rsidR="00A72CD6" w:rsidRPr="009F30A3" w:rsidRDefault="00A72CD6" w:rsidP="00A72C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9F30A3">
        <w:t xml:space="preserve">Valdés, G. (2001). </w:t>
      </w:r>
      <w:r w:rsidRPr="009F30A3">
        <w:rPr>
          <w:i/>
          <w:iCs/>
        </w:rPr>
        <w:t xml:space="preserve">Learning and Not Learning English: Latino Students in American Schools. </w:t>
      </w:r>
      <w:r w:rsidRPr="009F30A3">
        <w:t>Teachers College Press: NY.</w:t>
      </w:r>
    </w:p>
    <w:p w14:paraId="28E1AE4B" w14:textId="77777777" w:rsidR="00A72CD6" w:rsidRPr="009F30A3" w:rsidRDefault="00A72CD6" w:rsidP="00A72CD6">
      <w:pPr>
        <w:jc w:val="both"/>
      </w:pPr>
    </w:p>
    <w:p w14:paraId="74E839E7" w14:textId="77777777" w:rsidR="00A72CD6" w:rsidRPr="009F30A3" w:rsidRDefault="00A72CD6" w:rsidP="00A72CD6">
      <w:pPr>
        <w:ind w:left="720" w:hanging="720"/>
        <w:jc w:val="both"/>
      </w:pPr>
      <w:r w:rsidRPr="009F30A3">
        <w:t xml:space="preserve">Valdés, G. (1988). The Language Situation of </w:t>
      </w:r>
      <w:proofErr w:type="gramStart"/>
      <w:r w:rsidRPr="009F30A3">
        <w:t>Mexican-Americans</w:t>
      </w:r>
      <w:proofErr w:type="gramEnd"/>
      <w:r>
        <w:t>.</w:t>
      </w:r>
      <w:r w:rsidRPr="009F30A3">
        <w:t xml:space="preserve"> In: S. McKay </w:t>
      </w:r>
      <w:proofErr w:type="gramStart"/>
      <w:r w:rsidRPr="009F30A3">
        <w:t>&amp;  S</w:t>
      </w:r>
      <w:proofErr w:type="gramEnd"/>
      <w:r w:rsidRPr="009F30A3">
        <w:t xml:space="preserve">.Wong.   </w:t>
      </w:r>
      <w:r w:rsidRPr="009F30A3">
        <w:rPr>
          <w:i/>
          <w:iCs/>
        </w:rPr>
        <w:t xml:space="preserve">Language Diversity:  Problem or Resource? </w:t>
      </w:r>
      <w:r w:rsidRPr="009F30A3">
        <w:t xml:space="preserve">Boston:  Heinle &amp; Heinle, Inc. </w:t>
      </w:r>
    </w:p>
    <w:p w14:paraId="0C0237C6" w14:textId="77777777" w:rsidR="00A72CD6" w:rsidRPr="009F30A3" w:rsidRDefault="00A72CD6" w:rsidP="00A72CD6">
      <w:pPr>
        <w:ind w:firstLine="720"/>
        <w:jc w:val="both"/>
      </w:pPr>
    </w:p>
    <w:p w14:paraId="4C226D49" w14:textId="77777777" w:rsidR="00A72CD6" w:rsidRPr="007D1ED3" w:rsidRDefault="00A72CD6" w:rsidP="00A72CD6">
      <w:pPr>
        <w:autoSpaceDE w:val="0"/>
        <w:autoSpaceDN w:val="0"/>
        <w:adjustRightInd w:val="0"/>
        <w:ind w:left="720" w:hanging="720"/>
      </w:pPr>
      <w:r w:rsidRPr="007D1ED3">
        <w:t xml:space="preserve">Valdés, G. &amp; Figueroa, R. (1994). </w:t>
      </w:r>
      <w:r w:rsidRPr="007D1ED3">
        <w:rPr>
          <w:i/>
        </w:rPr>
        <w:t xml:space="preserve">Bilingualism and </w:t>
      </w:r>
      <w:r>
        <w:rPr>
          <w:i/>
        </w:rPr>
        <w:t>T</w:t>
      </w:r>
      <w:r w:rsidRPr="007D1ED3">
        <w:rPr>
          <w:i/>
        </w:rPr>
        <w:t xml:space="preserve">esting: </w:t>
      </w:r>
      <w:proofErr w:type="gramStart"/>
      <w:r w:rsidRPr="007D1ED3">
        <w:rPr>
          <w:i/>
        </w:rPr>
        <w:t>a</w:t>
      </w:r>
      <w:proofErr w:type="gramEnd"/>
      <w:r w:rsidRPr="007D1ED3">
        <w:rPr>
          <w:i/>
        </w:rPr>
        <w:t xml:space="preserve"> </w:t>
      </w:r>
      <w:r>
        <w:rPr>
          <w:i/>
        </w:rPr>
        <w:t>S</w:t>
      </w:r>
      <w:r w:rsidRPr="007D1ED3">
        <w:rPr>
          <w:i/>
        </w:rPr>
        <w:t xml:space="preserve">pecial </w:t>
      </w:r>
      <w:r>
        <w:rPr>
          <w:i/>
        </w:rPr>
        <w:t>C</w:t>
      </w:r>
      <w:r w:rsidRPr="007D1ED3">
        <w:rPr>
          <w:i/>
        </w:rPr>
        <w:t xml:space="preserve">ase of </w:t>
      </w:r>
      <w:r>
        <w:rPr>
          <w:i/>
        </w:rPr>
        <w:t>B</w:t>
      </w:r>
      <w:r w:rsidRPr="007D1ED3">
        <w:rPr>
          <w:i/>
        </w:rPr>
        <w:t>ias.</w:t>
      </w:r>
      <w:r>
        <w:t xml:space="preserve"> </w:t>
      </w:r>
      <w:r w:rsidRPr="007D1ED3">
        <w:t>Norwood, N.J.: Ablex</w:t>
      </w:r>
      <w:r>
        <w:t>.</w:t>
      </w:r>
    </w:p>
    <w:p w14:paraId="5FC778DD" w14:textId="77777777" w:rsidR="00A72CD6" w:rsidRDefault="00A72CD6" w:rsidP="00A72CD6">
      <w:pPr>
        <w:autoSpaceDE w:val="0"/>
        <w:autoSpaceDN w:val="0"/>
        <w:adjustRightInd w:val="0"/>
        <w:ind w:left="720" w:hanging="720"/>
        <w:rPr>
          <w:rFonts w:eastAsia="Calibri"/>
          <w:color w:val="000000"/>
          <w:highlight w:val="yellow"/>
        </w:rPr>
      </w:pPr>
    </w:p>
    <w:p w14:paraId="02748CFB" w14:textId="77777777" w:rsidR="00A72CD6" w:rsidRPr="00793322" w:rsidRDefault="00A72CD6" w:rsidP="00A72CD6">
      <w:pPr>
        <w:autoSpaceDE w:val="0"/>
        <w:autoSpaceDN w:val="0"/>
        <w:adjustRightInd w:val="0"/>
        <w:ind w:left="720" w:hanging="720"/>
        <w:rPr>
          <w:rFonts w:eastAsia="Calibri"/>
          <w:color w:val="000000"/>
        </w:rPr>
      </w:pPr>
      <w:r w:rsidRPr="00793322">
        <w:rPr>
          <w:rFonts w:eastAsia="Calibri"/>
          <w:color w:val="000000"/>
        </w:rPr>
        <w:t xml:space="preserve">Veenman, S. (1984). Perceived problems of beginning teachers. </w:t>
      </w:r>
      <w:r w:rsidRPr="00BB5E39">
        <w:rPr>
          <w:rFonts w:eastAsia="Calibri"/>
          <w:i/>
          <w:color w:val="000000"/>
        </w:rPr>
        <w:t>Review of Educational Research,</w:t>
      </w:r>
      <w:r w:rsidRPr="00793322">
        <w:rPr>
          <w:rFonts w:eastAsia="Calibri"/>
          <w:color w:val="000000"/>
        </w:rPr>
        <w:t xml:space="preserve"> 54(2), 143–178.</w:t>
      </w:r>
    </w:p>
    <w:p w14:paraId="4C5132BA" w14:textId="77777777" w:rsidR="00A72CD6" w:rsidRPr="00793322" w:rsidRDefault="00A72CD6" w:rsidP="00A72CD6">
      <w:pPr>
        <w:autoSpaceDE w:val="0"/>
        <w:autoSpaceDN w:val="0"/>
        <w:adjustRightInd w:val="0"/>
        <w:ind w:firstLine="720"/>
        <w:rPr>
          <w:rFonts w:eastAsia="Calibri"/>
          <w:color w:val="000000"/>
        </w:rPr>
      </w:pPr>
    </w:p>
    <w:p w14:paraId="6213F697"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Villegas, A. M. (1996). Increasing the </w:t>
      </w:r>
      <w:r>
        <w:rPr>
          <w:rFonts w:eastAsia="Calibri"/>
        </w:rPr>
        <w:t>R</w:t>
      </w:r>
      <w:r w:rsidRPr="00793322">
        <w:rPr>
          <w:rFonts w:eastAsia="Calibri"/>
        </w:rPr>
        <w:t xml:space="preserve">acial and </w:t>
      </w:r>
      <w:r>
        <w:rPr>
          <w:rFonts w:eastAsia="Calibri"/>
        </w:rPr>
        <w:t>E</w:t>
      </w:r>
      <w:r w:rsidRPr="00793322">
        <w:rPr>
          <w:rFonts w:eastAsia="Calibri"/>
        </w:rPr>
        <w:t xml:space="preserve">thnic </w:t>
      </w:r>
      <w:r>
        <w:rPr>
          <w:rFonts w:eastAsia="Calibri"/>
        </w:rPr>
        <w:t>D</w:t>
      </w:r>
      <w:r w:rsidRPr="00793322">
        <w:rPr>
          <w:rFonts w:eastAsia="Calibri"/>
        </w:rPr>
        <w:t xml:space="preserve">iversity in the U.S. </w:t>
      </w:r>
      <w:r>
        <w:rPr>
          <w:rFonts w:eastAsia="Calibri"/>
        </w:rPr>
        <w:t>T</w:t>
      </w:r>
      <w:r w:rsidRPr="00793322">
        <w:rPr>
          <w:rFonts w:eastAsia="Calibri"/>
        </w:rPr>
        <w:t xml:space="preserve">eaching </w:t>
      </w:r>
      <w:r>
        <w:rPr>
          <w:rFonts w:eastAsia="Calibri"/>
        </w:rPr>
        <w:t>F</w:t>
      </w:r>
      <w:r w:rsidRPr="00793322">
        <w:rPr>
          <w:rFonts w:eastAsia="Calibri"/>
        </w:rPr>
        <w:t xml:space="preserve">orce. In B. Biddle, T. Good, &amp; I. Goodson (Eds.), </w:t>
      </w:r>
      <w:r w:rsidRPr="00793322">
        <w:rPr>
          <w:rFonts w:eastAsia="Calibri"/>
          <w:i/>
          <w:iCs/>
        </w:rPr>
        <w:t xml:space="preserve">International </w:t>
      </w:r>
      <w:r>
        <w:rPr>
          <w:rFonts w:eastAsia="Calibri"/>
          <w:i/>
          <w:iCs/>
        </w:rPr>
        <w:t>H</w:t>
      </w:r>
      <w:r w:rsidRPr="00793322">
        <w:rPr>
          <w:rFonts w:eastAsia="Calibri"/>
          <w:i/>
          <w:iCs/>
        </w:rPr>
        <w:t>andbook on</w:t>
      </w:r>
      <w:r>
        <w:rPr>
          <w:rFonts w:eastAsia="Calibri"/>
          <w:i/>
          <w:iCs/>
        </w:rPr>
        <w:t xml:space="preserve"> T</w:t>
      </w:r>
      <w:r w:rsidRPr="00793322">
        <w:rPr>
          <w:rFonts w:eastAsia="Calibri"/>
          <w:i/>
          <w:iCs/>
        </w:rPr>
        <w:t xml:space="preserve">eachers and </w:t>
      </w:r>
      <w:r>
        <w:rPr>
          <w:rFonts w:eastAsia="Calibri"/>
          <w:i/>
          <w:iCs/>
        </w:rPr>
        <w:t>T</w:t>
      </w:r>
      <w:r w:rsidRPr="00793322">
        <w:rPr>
          <w:rFonts w:eastAsia="Calibri"/>
          <w:i/>
          <w:iCs/>
        </w:rPr>
        <w:t>eaching</w:t>
      </w:r>
      <w:r w:rsidRPr="00793322">
        <w:rPr>
          <w:rFonts w:eastAsia="Calibri"/>
        </w:rPr>
        <w:t>. The Netherlands: Kluwer.</w:t>
      </w:r>
    </w:p>
    <w:p w14:paraId="32E7FAB7" w14:textId="77777777" w:rsidR="00A72CD6" w:rsidRPr="00793322" w:rsidRDefault="00A72CD6" w:rsidP="00A72CD6">
      <w:pPr>
        <w:autoSpaceDE w:val="0"/>
        <w:autoSpaceDN w:val="0"/>
        <w:adjustRightInd w:val="0"/>
        <w:ind w:left="720" w:hanging="720"/>
        <w:rPr>
          <w:rFonts w:eastAsia="Calibri"/>
        </w:rPr>
      </w:pPr>
    </w:p>
    <w:p w14:paraId="0889FBA0" w14:textId="77777777" w:rsidR="00A72CD6" w:rsidRPr="00793322" w:rsidRDefault="00A72CD6" w:rsidP="00A72CD6">
      <w:pPr>
        <w:autoSpaceDE w:val="0"/>
        <w:autoSpaceDN w:val="0"/>
        <w:adjustRightInd w:val="0"/>
        <w:ind w:left="720" w:hanging="720"/>
        <w:rPr>
          <w:rFonts w:eastAsia="Calibri"/>
          <w:color w:val="000000"/>
        </w:rPr>
      </w:pPr>
      <w:r w:rsidRPr="00793322">
        <w:rPr>
          <w:rFonts w:eastAsia="Calibri"/>
          <w:color w:val="000000"/>
        </w:rPr>
        <w:t xml:space="preserve">Winitsky, N., Stoddart, T., &amp; O’Keefe, P. (1992). Great </w:t>
      </w:r>
      <w:r>
        <w:rPr>
          <w:rFonts w:eastAsia="Calibri"/>
          <w:color w:val="000000"/>
        </w:rPr>
        <w:t>E</w:t>
      </w:r>
      <w:r w:rsidRPr="00793322">
        <w:rPr>
          <w:rFonts w:eastAsia="Calibri"/>
          <w:color w:val="000000"/>
        </w:rPr>
        <w:t xml:space="preserve">xpectations: </w:t>
      </w:r>
      <w:r>
        <w:rPr>
          <w:rFonts w:eastAsia="Calibri"/>
          <w:color w:val="000000"/>
        </w:rPr>
        <w:t>E</w:t>
      </w:r>
      <w:r w:rsidRPr="00793322">
        <w:rPr>
          <w:rFonts w:eastAsia="Calibri"/>
          <w:color w:val="000000"/>
        </w:rPr>
        <w:t xml:space="preserve">mergent </w:t>
      </w:r>
      <w:r>
        <w:rPr>
          <w:rFonts w:eastAsia="Calibri"/>
          <w:color w:val="000000"/>
        </w:rPr>
        <w:t>P</w:t>
      </w:r>
      <w:r w:rsidRPr="00793322">
        <w:rPr>
          <w:rFonts w:eastAsia="Calibri"/>
          <w:color w:val="000000"/>
        </w:rPr>
        <w:t xml:space="preserve">rofessional </w:t>
      </w:r>
      <w:r>
        <w:rPr>
          <w:rFonts w:eastAsia="Calibri"/>
          <w:color w:val="000000"/>
        </w:rPr>
        <w:t>D</w:t>
      </w:r>
      <w:r w:rsidRPr="00793322">
        <w:rPr>
          <w:rFonts w:eastAsia="Calibri"/>
          <w:color w:val="000000"/>
        </w:rPr>
        <w:t xml:space="preserve">evelopment </w:t>
      </w:r>
      <w:r>
        <w:rPr>
          <w:rFonts w:eastAsia="Calibri"/>
          <w:color w:val="000000"/>
        </w:rPr>
        <w:t>S</w:t>
      </w:r>
      <w:r w:rsidRPr="00793322">
        <w:rPr>
          <w:rFonts w:eastAsia="Calibri"/>
          <w:color w:val="000000"/>
        </w:rPr>
        <w:t xml:space="preserve">chools. </w:t>
      </w:r>
      <w:r w:rsidRPr="00391AB4">
        <w:rPr>
          <w:rFonts w:eastAsia="Calibri"/>
          <w:i/>
          <w:color w:val="000000"/>
        </w:rPr>
        <w:t>Journal of Teacher Education</w:t>
      </w:r>
      <w:r w:rsidRPr="00793322">
        <w:rPr>
          <w:rFonts w:eastAsia="Calibri"/>
          <w:color w:val="000000"/>
        </w:rPr>
        <w:t>, 42(1), 52–65.</w:t>
      </w:r>
    </w:p>
    <w:p w14:paraId="3086E4FE" w14:textId="77777777" w:rsidR="00A72CD6" w:rsidRPr="00793322" w:rsidRDefault="00A72CD6" w:rsidP="00A72CD6">
      <w:pPr>
        <w:ind w:left="720" w:hanging="720"/>
        <w:jc w:val="both"/>
      </w:pPr>
    </w:p>
    <w:p w14:paraId="420BC322" w14:textId="77777777" w:rsidR="00A72CD6" w:rsidRPr="00793322" w:rsidRDefault="00A72CD6" w:rsidP="00A72CD6">
      <w:pPr>
        <w:autoSpaceDE w:val="0"/>
        <w:autoSpaceDN w:val="0"/>
        <w:adjustRightInd w:val="0"/>
        <w:ind w:left="720" w:hanging="720"/>
        <w:rPr>
          <w:rFonts w:eastAsia="Calibri"/>
        </w:rPr>
      </w:pPr>
      <w:r w:rsidRPr="00793322">
        <w:rPr>
          <w:rFonts w:eastAsia="Calibri"/>
        </w:rPr>
        <w:t xml:space="preserve">Wollenberg, C. (1975). </w:t>
      </w:r>
      <w:r w:rsidRPr="00793322">
        <w:rPr>
          <w:rFonts w:eastAsia="Calibri"/>
          <w:i/>
          <w:iCs/>
        </w:rPr>
        <w:t>All deliberate speed: Segregation and exclusion in California schools, 1855–1975</w:t>
      </w:r>
      <w:r w:rsidRPr="00793322">
        <w:rPr>
          <w:rFonts w:eastAsia="Calibri"/>
        </w:rPr>
        <w:t>. Berkeley, CA: University of California Press.</w:t>
      </w:r>
    </w:p>
    <w:p w14:paraId="5849C78A" w14:textId="77777777" w:rsidR="00A72CD6" w:rsidRPr="00793322" w:rsidRDefault="00A72CD6" w:rsidP="00A72CD6">
      <w:pPr>
        <w:autoSpaceDE w:val="0"/>
        <w:autoSpaceDN w:val="0"/>
        <w:adjustRightInd w:val="0"/>
        <w:rPr>
          <w:rFonts w:eastAsia="Calibri"/>
        </w:rPr>
      </w:pPr>
    </w:p>
    <w:p w14:paraId="2178F152" w14:textId="77777777" w:rsidR="00A72CD6" w:rsidRPr="00793322" w:rsidRDefault="00A72CD6" w:rsidP="00A72CD6">
      <w:pPr>
        <w:autoSpaceDE w:val="0"/>
        <w:autoSpaceDN w:val="0"/>
        <w:adjustRightInd w:val="0"/>
        <w:ind w:left="720" w:hanging="720"/>
        <w:rPr>
          <w:rFonts w:eastAsia="Calibri"/>
          <w:color w:val="000000"/>
        </w:rPr>
      </w:pPr>
      <w:r w:rsidRPr="00793322">
        <w:rPr>
          <w:rFonts w:eastAsia="Calibri"/>
          <w:color w:val="000000"/>
        </w:rPr>
        <w:t xml:space="preserve">Yee, A. H. (1969). Do cooperating teachers influence the attitudes of student teachers? </w:t>
      </w:r>
      <w:r w:rsidRPr="00391AB4">
        <w:rPr>
          <w:rFonts w:eastAsia="Calibri"/>
          <w:i/>
          <w:color w:val="000000"/>
        </w:rPr>
        <w:t>Journal of Educational Psychology,</w:t>
      </w:r>
      <w:r w:rsidRPr="00793322">
        <w:rPr>
          <w:rFonts w:eastAsia="Calibri"/>
          <w:color w:val="000000"/>
        </w:rPr>
        <w:t xml:space="preserve"> LX, 327.</w:t>
      </w:r>
    </w:p>
    <w:p w14:paraId="37CE97C1" w14:textId="77777777" w:rsidR="00A72CD6" w:rsidRPr="00793322" w:rsidRDefault="00A72CD6" w:rsidP="00A72CD6">
      <w:pPr>
        <w:autoSpaceDE w:val="0"/>
        <w:autoSpaceDN w:val="0"/>
        <w:adjustRightInd w:val="0"/>
        <w:rPr>
          <w:rFonts w:eastAsia="Calibri"/>
        </w:rPr>
      </w:pPr>
    </w:p>
    <w:p w14:paraId="0BA08D1A" w14:textId="77777777" w:rsidR="00A72CD6" w:rsidRPr="00793322" w:rsidRDefault="00A72CD6" w:rsidP="00A72CD6">
      <w:pPr>
        <w:autoSpaceDE w:val="0"/>
        <w:autoSpaceDN w:val="0"/>
        <w:adjustRightInd w:val="0"/>
        <w:rPr>
          <w:rFonts w:eastAsia="Calibri"/>
        </w:rPr>
      </w:pPr>
      <w:r w:rsidRPr="00793322">
        <w:rPr>
          <w:rFonts w:eastAsia="Calibri"/>
        </w:rPr>
        <w:t xml:space="preserve">Yin, R. K. (1994). </w:t>
      </w:r>
      <w:r w:rsidRPr="00793322">
        <w:rPr>
          <w:rFonts w:eastAsia="Calibri"/>
          <w:i/>
          <w:iCs/>
        </w:rPr>
        <w:t>Case study research: Design and methods</w:t>
      </w:r>
      <w:r w:rsidRPr="00793322">
        <w:rPr>
          <w:rFonts w:eastAsia="Calibri"/>
        </w:rPr>
        <w:t>. Thousand Oaks, CA: Sage.</w:t>
      </w:r>
    </w:p>
    <w:p w14:paraId="2951C496" w14:textId="77777777" w:rsidR="00A72CD6" w:rsidRPr="00793322" w:rsidRDefault="00A72CD6" w:rsidP="00A72CD6">
      <w:pPr>
        <w:autoSpaceDE w:val="0"/>
        <w:autoSpaceDN w:val="0"/>
        <w:adjustRightInd w:val="0"/>
        <w:rPr>
          <w:rFonts w:eastAsia="Calibri"/>
        </w:rPr>
      </w:pPr>
    </w:p>
    <w:p w14:paraId="40EF736D" w14:textId="77777777" w:rsidR="00A72CD6" w:rsidRPr="009F30A3" w:rsidRDefault="00A72CD6" w:rsidP="00A72CD6">
      <w:pPr>
        <w:autoSpaceDE w:val="0"/>
        <w:autoSpaceDN w:val="0"/>
        <w:adjustRightInd w:val="0"/>
        <w:ind w:left="720" w:hanging="720"/>
        <w:rPr>
          <w:rFonts w:eastAsia="Calibri"/>
          <w:color w:val="000000"/>
        </w:rPr>
      </w:pPr>
      <w:r w:rsidRPr="00793322">
        <w:rPr>
          <w:rFonts w:eastAsia="Calibri"/>
        </w:rPr>
        <w:t xml:space="preserve">Zeichner, K. M., &amp; Gore, M. J. (1990). Teacher </w:t>
      </w:r>
      <w:r>
        <w:rPr>
          <w:rFonts w:eastAsia="Calibri"/>
        </w:rPr>
        <w:t>S</w:t>
      </w:r>
      <w:r w:rsidRPr="00793322">
        <w:rPr>
          <w:rFonts w:eastAsia="Calibri"/>
        </w:rPr>
        <w:t xml:space="preserve">ocialization. In W. R. Houston (Ed.), </w:t>
      </w:r>
      <w:r w:rsidRPr="00793322">
        <w:rPr>
          <w:rFonts w:eastAsia="Calibri"/>
          <w:i/>
          <w:iCs/>
        </w:rPr>
        <w:t xml:space="preserve">Handbook of </w:t>
      </w:r>
      <w:r>
        <w:rPr>
          <w:rFonts w:eastAsia="Calibri"/>
          <w:i/>
          <w:iCs/>
        </w:rPr>
        <w:t>R</w:t>
      </w:r>
      <w:r w:rsidRPr="00793322">
        <w:rPr>
          <w:rFonts w:eastAsia="Calibri"/>
          <w:i/>
          <w:iCs/>
        </w:rPr>
        <w:t xml:space="preserve">esearch on </w:t>
      </w:r>
      <w:r>
        <w:rPr>
          <w:rFonts w:eastAsia="Calibri"/>
          <w:i/>
          <w:iCs/>
        </w:rPr>
        <w:t>T</w:t>
      </w:r>
      <w:r w:rsidRPr="00793322">
        <w:rPr>
          <w:rFonts w:eastAsia="Calibri"/>
          <w:i/>
          <w:iCs/>
        </w:rPr>
        <w:t xml:space="preserve">eacher </w:t>
      </w:r>
      <w:r>
        <w:rPr>
          <w:rFonts w:eastAsia="Calibri"/>
          <w:i/>
          <w:iCs/>
        </w:rPr>
        <w:t>E</w:t>
      </w:r>
      <w:r w:rsidRPr="00793322">
        <w:rPr>
          <w:rFonts w:eastAsia="Calibri"/>
          <w:i/>
          <w:iCs/>
        </w:rPr>
        <w:t xml:space="preserve">ducation </w:t>
      </w:r>
      <w:r w:rsidRPr="00793322">
        <w:rPr>
          <w:rFonts w:eastAsia="Calibri"/>
        </w:rPr>
        <w:t>(pp. 329 348). New York: Macmillan.</w:t>
      </w:r>
      <w:r w:rsidRPr="009F30A3">
        <w:rPr>
          <w:rFonts w:eastAsia="Calibri"/>
        </w:rPr>
        <w:t xml:space="preserve"> </w:t>
      </w:r>
    </w:p>
    <w:p w14:paraId="3D2BFAA2" w14:textId="77777777" w:rsidR="00A72CD6" w:rsidRPr="009F30A3" w:rsidRDefault="00A72CD6" w:rsidP="00A72CD6">
      <w:pPr>
        <w:ind w:left="720" w:hanging="720"/>
        <w:jc w:val="both"/>
      </w:pPr>
    </w:p>
    <w:p w14:paraId="5B3AF11E" w14:textId="77777777" w:rsidR="00A72CD6" w:rsidRPr="009F30A3" w:rsidRDefault="00A72CD6" w:rsidP="00A72CD6">
      <w:pPr>
        <w:ind w:left="720" w:hanging="720"/>
        <w:jc w:val="both"/>
      </w:pPr>
      <w:r>
        <w:t xml:space="preserve">Zentella, A.C. (1988). </w:t>
      </w:r>
      <w:r w:rsidRPr="009F30A3">
        <w:t>The Language Situation of Puerto Ricans. In: S. McKay</w:t>
      </w:r>
      <w:r>
        <w:t xml:space="preserve"> </w:t>
      </w:r>
      <w:r w:rsidRPr="009F30A3">
        <w:t>&amp;</w:t>
      </w:r>
      <w:r>
        <w:t xml:space="preserve"> </w:t>
      </w:r>
      <w:proofErr w:type="gramStart"/>
      <w:r w:rsidRPr="009F30A3">
        <w:t>S.Wong</w:t>
      </w:r>
      <w:proofErr w:type="gramEnd"/>
      <w:r w:rsidRPr="009F30A3">
        <w:t xml:space="preserve">.   </w:t>
      </w:r>
      <w:r w:rsidRPr="009F30A3">
        <w:rPr>
          <w:i/>
          <w:iCs/>
        </w:rPr>
        <w:t xml:space="preserve">Language Diversity:  Problem or Resource? </w:t>
      </w:r>
      <w:r w:rsidRPr="009F30A3">
        <w:t xml:space="preserve">Boston: Heinle &amp; Heinle, Inc. </w:t>
      </w:r>
    </w:p>
    <w:p w14:paraId="7F40E4AF" w14:textId="77777777" w:rsidR="00A72CD6" w:rsidRPr="009F30A3" w:rsidRDefault="00A72CD6" w:rsidP="00A72CD6">
      <w:pPr>
        <w:ind w:left="600" w:hanging="600"/>
        <w:jc w:val="both"/>
      </w:pPr>
    </w:p>
    <w:p w14:paraId="77921724" w14:textId="77777777" w:rsidR="00A72CD6" w:rsidRPr="009F30A3" w:rsidRDefault="00A72CD6" w:rsidP="00A72CD6">
      <w:pPr>
        <w:ind w:left="720" w:hanging="720"/>
        <w:jc w:val="both"/>
      </w:pPr>
      <w:r w:rsidRPr="009F30A3">
        <w:t xml:space="preserve">Zentella, A. (2005). </w:t>
      </w:r>
      <w:r w:rsidRPr="009F30A3">
        <w:rPr>
          <w:i/>
          <w:iCs/>
        </w:rPr>
        <w:t>Latinos and Language Socialization in Families, Communities, and Schools: Anthro-political Perspectives</w:t>
      </w:r>
      <w:r w:rsidRPr="009F30A3">
        <w:t>. NY: SUNY Press.</w:t>
      </w:r>
    </w:p>
    <w:p w14:paraId="3A8EACCD" w14:textId="77777777" w:rsidR="00A72CD6" w:rsidRDefault="00A72CD6" w:rsidP="00A72CD6">
      <w:pPr>
        <w:sectPr w:rsidR="00A72CD6" w:rsidSect="00A72CD6">
          <w:pgSz w:w="12240" w:h="15840"/>
          <w:pgMar w:top="1440" w:right="1440" w:bottom="1440" w:left="1440" w:header="720" w:footer="720" w:gutter="0"/>
          <w:cols w:space="720"/>
          <w:docGrid w:linePitch="360"/>
        </w:sectPr>
      </w:pPr>
    </w:p>
    <w:p w14:paraId="0E87FD88" w14:textId="77777777" w:rsidR="00A72CD6" w:rsidRPr="009F30A3" w:rsidRDefault="00A72CD6" w:rsidP="00A72CD6"/>
    <w:p w14:paraId="121601B5" w14:textId="77777777" w:rsidR="00A72CD6" w:rsidRPr="00251A71" w:rsidRDefault="00A72CD6" w:rsidP="0082302B">
      <w:pPr>
        <w:pStyle w:val="Heading2"/>
      </w:pPr>
      <w:bookmarkStart w:id="118" w:name="Appendix_C"/>
      <w:bookmarkStart w:id="119" w:name="_Toc337553991"/>
      <w:bookmarkStart w:id="120" w:name="_Toc135655568"/>
      <w:r w:rsidRPr="00251A71">
        <w:t>A</w:t>
      </w:r>
      <w:r w:rsidR="006A536C" w:rsidRPr="00251A71">
        <w:t>ppendix</w:t>
      </w:r>
      <w:r w:rsidRPr="00251A71">
        <w:t xml:space="preserve"> </w:t>
      </w:r>
      <w:r w:rsidR="001E3416" w:rsidRPr="00251A71">
        <w:t>C</w:t>
      </w:r>
      <w:bookmarkEnd w:id="118"/>
      <w:r w:rsidR="00251A71">
        <w:t xml:space="preserve">: </w:t>
      </w:r>
      <w:r w:rsidR="00215566" w:rsidRPr="00251A71">
        <w:t>American Council on th</w:t>
      </w:r>
      <w:r w:rsidR="00251A71">
        <w:t xml:space="preserve">e Teaching of Foreign Languages </w:t>
      </w:r>
      <w:r w:rsidR="00215566" w:rsidRPr="00251A71">
        <w:t>(</w:t>
      </w:r>
      <w:r w:rsidRPr="00251A71">
        <w:t>ACTFL</w:t>
      </w:r>
      <w:r w:rsidR="00215566" w:rsidRPr="00251A71">
        <w:t>)</w:t>
      </w:r>
      <w:r w:rsidRPr="00251A71">
        <w:t xml:space="preserve"> P</w:t>
      </w:r>
      <w:r w:rsidR="006A536C" w:rsidRPr="00251A71">
        <w:t>roficiency Standards Descriptions</w:t>
      </w:r>
      <w:bookmarkEnd w:id="119"/>
      <w:bookmarkEnd w:id="120"/>
    </w:p>
    <w:p w14:paraId="714C322D" w14:textId="77777777" w:rsidR="00A72CD6" w:rsidRDefault="00A72CD6" w:rsidP="00A72CD6">
      <w:pPr>
        <w:jc w:val="both"/>
        <w:rPr>
          <w:b/>
          <w:bCs/>
          <w:sz w:val="22"/>
          <w:szCs w:val="22"/>
        </w:rPr>
      </w:pPr>
    </w:p>
    <w:p w14:paraId="132DD5BF" w14:textId="77777777" w:rsidR="00A72CD6" w:rsidRPr="00F67556" w:rsidRDefault="00A72CD6" w:rsidP="0082302B">
      <w:pPr>
        <w:pStyle w:val="Heading3"/>
      </w:pPr>
      <w:bookmarkStart w:id="121" w:name="_Toc135655569"/>
      <w:r w:rsidRPr="00F67556">
        <w:t>ACTFL PROFICIENCY STANDARDS: LISTENING</w:t>
      </w:r>
      <w:bookmarkEnd w:id="121"/>
    </w:p>
    <w:p w14:paraId="606DBB5B" w14:textId="77777777" w:rsidR="00A72CD6" w:rsidRDefault="00A72CD6" w:rsidP="00A72CD6">
      <w:pPr>
        <w:jc w:val="both"/>
        <w:rPr>
          <w:b/>
          <w:bCs/>
          <w:sz w:val="22"/>
          <w:szCs w:val="22"/>
        </w:rPr>
      </w:pPr>
    </w:p>
    <w:p w14:paraId="6CB96A06" w14:textId="77777777" w:rsidR="00A72CD6" w:rsidRPr="00A812CD" w:rsidRDefault="00A72CD6" w:rsidP="00A72CD6">
      <w:pPr>
        <w:jc w:val="both"/>
        <w:rPr>
          <w:sz w:val="22"/>
          <w:szCs w:val="22"/>
        </w:rPr>
      </w:pPr>
      <w:r w:rsidRPr="00A812CD">
        <w:rPr>
          <w:b/>
          <w:bCs/>
          <w:sz w:val="22"/>
          <w:szCs w:val="22"/>
        </w:rPr>
        <w:t>Intermediate-Low</w:t>
      </w:r>
      <w:r w:rsidRPr="00A812CD">
        <w:rPr>
          <w:sz w:val="22"/>
          <w:szCs w:val="22"/>
        </w:rPr>
        <w:t xml:space="preserve"> </w:t>
      </w:r>
    </w:p>
    <w:p w14:paraId="20254B76" w14:textId="77777777" w:rsidR="00A72CD6" w:rsidRPr="00A812CD" w:rsidRDefault="00A72CD6" w:rsidP="00A72CD6">
      <w:pPr>
        <w:jc w:val="both"/>
        <w:rPr>
          <w:bCs/>
          <w:sz w:val="22"/>
          <w:szCs w:val="22"/>
        </w:rPr>
      </w:pPr>
      <w:r w:rsidRPr="00A812CD">
        <w:rPr>
          <w:bCs/>
          <w:sz w:val="22"/>
          <w:szCs w:val="22"/>
        </w:rPr>
        <w:t>Able to understand full length spoken sentences in content areas referring to personal background, personal needs, and routine social practices (ordering meals, receiving instructions, and receiving directions).  Listening is primarily fact to face. Understanding is often uneven; repetition and rewording may be necessary.  Misunderstandings arise frequently.</w:t>
      </w:r>
    </w:p>
    <w:p w14:paraId="51CCBB44" w14:textId="77777777" w:rsidR="00A72CD6" w:rsidRPr="00A812CD" w:rsidRDefault="00A72CD6" w:rsidP="00A72CD6">
      <w:pPr>
        <w:jc w:val="both"/>
        <w:rPr>
          <w:b/>
          <w:bCs/>
          <w:sz w:val="22"/>
          <w:szCs w:val="22"/>
        </w:rPr>
      </w:pPr>
    </w:p>
    <w:p w14:paraId="363911E5" w14:textId="77777777" w:rsidR="00A72CD6" w:rsidRPr="00A812CD" w:rsidRDefault="00A72CD6" w:rsidP="00A72CD6">
      <w:pPr>
        <w:jc w:val="both"/>
        <w:rPr>
          <w:sz w:val="22"/>
          <w:szCs w:val="22"/>
        </w:rPr>
      </w:pPr>
      <w:r w:rsidRPr="00A812CD">
        <w:rPr>
          <w:b/>
          <w:bCs/>
          <w:sz w:val="22"/>
          <w:szCs w:val="22"/>
        </w:rPr>
        <w:t>Intermediate-Mid</w:t>
      </w:r>
      <w:r w:rsidRPr="00A812CD">
        <w:rPr>
          <w:sz w:val="22"/>
          <w:szCs w:val="22"/>
        </w:rPr>
        <w:t xml:space="preserve"> </w:t>
      </w:r>
    </w:p>
    <w:p w14:paraId="46705123" w14:textId="77777777" w:rsidR="00A72CD6" w:rsidRPr="00A812CD" w:rsidRDefault="00A72CD6" w:rsidP="00A72CD6">
      <w:pPr>
        <w:jc w:val="both"/>
        <w:rPr>
          <w:bCs/>
          <w:sz w:val="22"/>
          <w:szCs w:val="22"/>
        </w:rPr>
      </w:pPr>
      <w:r w:rsidRPr="00A812CD">
        <w:rPr>
          <w:bCs/>
          <w:sz w:val="22"/>
          <w:szCs w:val="22"/>
        </w:rPr>
        <w:t>Able to understand full length spoken sentences in additional content areas referring to more difficult tasks (lodging, transportation, and shopping), personal interests, activities, and greater diversity of receiving instructions and directions.  Listening tasks will also pertain to short routine telephone conversations and some deliberate speech (simple announcements and news reports) Understanding continues to be uneven.</w:t>
      </w:r>
    </w:p>
    <w:p w14:paraId="5DE58879" w14:textId="77777777" w:rsidR="00A72CD6" w:rsidRPr="00A812CD" w:rsidRDefault="00A72CD6" w:rsidP="00A72CD6">
      <w:pPr>
        <w:jc w:val="both"/>
        <w:rPr>
          <w:b/>
          <w:bCs/>
          <w:sz w:val="22"/>
          <w:szCs w:val="22"/>
        </w:rPr>
      </w:pPr>
    </w:p>
    <w:p w14:paraId="49B18537" w14:textId="77777777" w:rsidR="00A72CD6" w:rsidRPr="00A812CD" w:rsidRDefault="00A72CD6" w:rsidP="00A72CD6">
      <w:pPr>
        <w:jc w:val="both"/>
        <w:rPr>
          <w:sz w:val="22"/>
          <w:szCs w:val="22"/>
        </w:rPr>
      </w:pPr>
      <w:r w:rsidRPr="00A812CD">
        <w:rPr>
          <w:b/>
          <w:bCs/>
          <w:sz w:val="22"/>
          <w:szCs w:val="22"/>
        </w:rPr>
        <w:t>Intermediate-High</w:t>
      </w:r>
      <w:r w:rsidRPr="00A812CD">
        <w:rPr>
          <w:sz w:val="22"/>
          <w:szCs w:val="22"/>
        </w:rPr>
        <w:t xml:space="preserve"> </w:t>
      </w:r>
    </w:p>
    <w:p w14:paraId="3A50611A" w14:textId="77777777" w:rsidR="00A72CD6" w:rsidRPr="00A812CD" w:rsidRDefault="00A72CD6" w:rsidP="00A72CD6">
      <w:pPr>
        <w:jc w:val="both"/>
        <w:rPr>
          <w:sz w:val="22"/>
          <w:szCs w:val="22"/>
        </w:rPr>
      </w:pPr>
      <w:r w:rsidRPr="00A812CD">
        <w:rPr>
          <w:sz w:val="22"/>
          <w:szCs w:val="22"/>
        </w:rPr>
        <w:t>Able to understand longer stretches of dialogue on additional content areas pertaining to different times and places.  Understanding may be inconsistent due to difficulty in grasping main ideas and/or details.  Topics are not significantly different from an Advanced level listener, but comprehension will be poorer.</w:t>
      </w:r>
    </w:p>
    <w:p w14:paraId="38A9FF48" w14:textId="77777777" w:rsidR="00A72CD6" w:rsidRPr="00A812CD" w:rsidRDefault="00A72CD6" w:rsidP="00A72CD6">
      <w:pPr>
        <w:jc w:val="both"/>
        <w:rPr>
          <w:b/>
          <w:bCs/>
          <w:sz w:val="22"/>
          <w:szCs w:val="22"/>
        </w:rPr>
      </w:pPr>
    </w:p>
    <w:p w14:paraId="6CB34904" w14:textId="77777777" w:rsidR="00A72CD6" w:rsidRPr="00A812CD" w:rsidRDefault="00A72CD6" w:rsidP="00A72CD6">
      <w:pPr>
        <w:jc w:val="both"/>
        <w:rPr>
          <w:sz w:val="22"/>
          <w:szCs w:val="22"/>
        </w:rPr>
      </w:pPr>
      <w:r w:rsidRPr="00A812CD">
        <w:rPr>
          <w:b/>
          <w:bCs/>
          <w:sz w:val="22"/>
          <w:szCs w:val="22"/>
        </w:rPr>
        <w:t>Advanced</w:t>
      </w:r>
      <w:r w:rsidRPr="00A812CD">
        <w:rPr>
          <w:sz w:val="22"/>
          <w:szCs w:val="22"/>
        </w:rPr>
        <w:t xml:space="preserve"> </w:t>
      </w:r>
    </w:p>
    <w:p w14:paraId="350512D1" w14:textId="77777777" w:rsidR="00A72CD6" w:rsidRPr="00A812CD" w:rsidRDefault="00A72CD6" w:rsidP="00A72CD6">
      <w:pPr>
        <w:jc w:val="both"/>
        <w:rPr>
          <w:sz w:val="22"/>
          <w:szCs w:val="22"/>
        </w:rPr>
      </w:pPr>
      <w:r w:rsidRPr="00A812CD">
        <w:rPr>
          <w:sz w:val="22"/>
          <w:szCs w:val="22"/>
        </w:rPr>
        <w:t xml:space="preserve">Able to understand main ideas and most details of longer stretches of dialogue on a variety of topics that may fall outside of the immediate situation, however comprehension may be uneven due to topic familiarity or other factors.  Dialogue will frequently involve different time frames (present, past, regularly occurring, or seldom occurring), and may include interviews, short lectures on familiar topics, and reports on </w:t>
      </w:r>
      <w:proofErr w:type="gramStart"/>
      <w:r w:rsidRPr="00A812CD">
        <w:rPr>
          <w:sz w:val="22"/>
          <w:szCs w:val="22"/>
        </w:rPr>
        <w:t>factual information</w:t>
      </w:r>
      <w:proofErr w:type="gramEnd"/>
      <w:r w:rsidRPr="00A812CD">
        <w:rPr>
          <w:sz w:val="22"/>
          <w:szCs w:val="22"/>
        </w:rPr>
        <w:t xml:space="preserve">.  </w:t>
      </w:r>
      <w:proofErr w:type="gramStart"/>
      <w:r w:rsidRPr="00A812CD">
        <w:rPr>
          <w:sz w:val="22"/>
          <w:szCs w:val="22"/>
        </w:rPr>
        <w:t>Listener is</w:t>
      </w:r>
      <w:proofErr w:type="gramEnd"/>
      <w:r w:rsidRPr="00A812CD">
        <w:rPr>
          <w:sz w:val="22"/>
          <w:szCs w:val="22"/>
        </w:rPr>
        <w:t xml:space="preserve"> aware of cohesive </w:t>
      </w:r>
      <w:proofErr w:type="gramStart"/>
      <w:r w:rsidRPr="00A812CD">
        <w:rPr>
          <w:sz w:val="22"/>
          <w:szCs w:val="22"/>
        </w:rPr>
        <w:t>devices, but</w:t>
      </w:r>
      <w:proofErr w:type="gramEnd"/>
      <w:r w:rsidRPr="00A812CD">
        <w:rPr>
          <w:sz w:val="22"/>
          <w:szCs w:val="22"/>
        </w:rPr>
        <w:t xml:space="preserve"> may not be able to use them to follow the sequence of thought when listening.</w:t>
      </w:r>
    </w:p>
    <w:p w14:paraId="1EAFB937" w14:textId="77777777" w:rsidR="00A72CD6" w:rsidRPr="00A812CD" w:rsidRDefault="00A72CD6" w:rsidP="00A72CD6">
      <w:pPr>
        <w:jc w:val="both"/>
        <w:rPr>
          <w:sz w:val="22"/>
          <w:szCs w:val="22"/>
        </w:rPr>
      </w:pPr>
    </w:p>
    <w:p w14:paraId="56612BED" w14:textId="77777777" w:rsidR="00A72CD6" w:rsidRPr="00A812CD" w:rsidRDefault="00A72CD6" w:rsidP="00A72CD6">
      <w:pPr>
        <w:jc w:val="both"/>
        <w:rPr>
          <w:sz w:val="22"/>
          <w:szCs w:val="22"/>
        </w:rPr>
      </w:pPr>
      <w:r w:rsidRPr="00A812CD">
        <w:rPr>
          <w:b/>
          <w:bCs/>
          <w:sz w:val="22"/>
          <w:szCs w:val="22"/>
        </w:rPr>
        <w:t>Advanced Plus</w:t>
      </w:r>
      <w:r w:rsidRPr="00A812CD">
        <w:rPr>
          <w:sz w:val="22"/>
          <w:szCs w:val="22"/>
        </w:rPr>
        <w:t xml:space="preserve"> </w:t>
      </w:r>
    </w:p>
    <w:p w14:paraId="68DEFEBC" w14:textId="77777777" w:rsidR="00A72CD6" w:rsidRPr="00A812CD" w:rsidRDefault="00A72CD6" w:rsidP="00A72CD6">
      <w:pPr>
        <w:jc w:val="both"/>
        <w:rPr>
          <w:sz w:val="22"/>
          <w:szCs w:val="22"/>
        </w:rPr>
      </w:pPr>
      <w:r w:rsidRPr="00A812CD">
        <w:rPr>
          <w:sz w:val="22"/>
          <w:szCs w:val="22"/>
        </w:rPr>
        <w:t xml:space="preserve">Able to understand the main ideas of most speech in the standard dialect, however it may be difficult to sustain understanding during lengthy or especially complex communication.  Listener is beginning to become aware of culturally implied meanings beyond the surface meanings of the </w:t>
      </w:r>
      <w:proofErr w:type="gramStart"/>
      <w:r w:rsidRPr="00A812CD">
        <w:rPr>
          <w:sz w:val="22"/>
          <w:szCs w:val="22"/>
        </w:rPr>
        <w:t>dialogue, but</w:t>
      </w:r>
      <w:proofErr w:type="gramEnd"/>
      <w:r w:rsidRPr="00A812CD">
        <w:rPr>
          <w:sz w:val="22"/>
          <w:szCs w:val="22"/>
        </w:rPr>
        <w:t xml:space="preserve"> may fail to understand the subtle sociocultural meanings in the message.</w:t>
      </w:r>
    </w:p>
    <w:p w14:paraId="4DDF51C1" w14:textId="77777777" w:rsidR="00A72CD6" w:rsidRPr="00A812CD" w:rsidRDefault="00A72CD6" w:rsidP="00A72CD6">
      <w:pPr>
        <w:jc w:val="both"/>
        <w:rPr>
          <w:sz w:val="22"/>
          <w:szCs w:val="22"/>
        </w:rPr>
      </w:pPr>
    </w:p>
    <w:p w14:paraId="0B5042B1" w14:textId="77777777" w:rsidR="00A72CD6" w:rsidRPr="00A812CD" w:rsidRDefault="00A72CD6" w:rsidP="00A72CD6">
      <w:pPr>
        <w:jc w:val="both"/>
        <w:rPr>
          <w:sz w:val="22"/>
          <w:szCs w:val="22"/>
        </w:rPr>
      </w:pPr>
      <w:r w:rsidRPr="00A812CD">
        <w:rPr>
          <w:b/>
          <w:bCs/>
          <w:sz w:val="22"/>
          <w:szCs w:val="22"/>
        </w:rPr>
        <w:t>Superior</w:t>
      </w:r>
      <w:r w:rsidRPr="00A812CD">
        <w:rPr>
          <w:sz w:val="22"/>
          <w:szCs w:val="22"/>
        </w:rPr>
        <w:t xml:space="preserve"> </w:t>
      </w:r>
    </w:p>
    <w:p w14:paraId="211B3128" w14:textId="77777777" w:rsidR="00A72CD6" w:rsidRPr="00A812CD" w:rsidRDefault="00A72CD6" w:rsidP="00A72CD6">
      <w:pPr>
        <w:jc w:val="both"/>
        <w:rPr>
          <w:sz w:val="22"/>
          <w:szCs w:val="22"/>
        </w:rPr>
      </w:pPr>
      <w:r w:rsidRPr="00A812CD">
        <w:rPr>
          <w:sz w:val="22"/>
          <w:szCs w:val="22"/>
        </w:rPr>
        <w:t>Able to understand the main ideas of all speech in the standard dialect, including technical discussion in a particular field of specialization (academic/ professional settings, lectures, speeches, and reports).  Listener shows some appreciation of aesthetic norms (idioms, colloquialisms, register shifting), and can understand subtle sociocultural meanings.  Rarely misunderstand, except during fast paced, highly colloquial speech, or speech with highly strong cultural references.</w:t>
      </w:r>
    </w:p>
    <w:p w14:paraId="2B398F7E" w14:textId="77777777" w:rsidR="00A72CD6" w:rsidRPr="00A812CD" w:rsidRDefault="00A72CD6" w:rsidP="00A72CD6">
      <w:pPr>
        <w:jc w:val="both"/>
        <w:rPr>
          <w:sz w:val="22"/>
          <w:szCs w:val="22"/>
        </w:rPr>
      </w:pPr>
    </w:p>
    <w:p w14:paraId="5A42A4F2" w14:textId="77777777" w:rsidR="00A72CD6" w:rsidRPr="00A812CD" w:rsidRDefault="00A72CD6" w:rsidP="00A72CD6">
      <w:pPr>
        <w:jc w:val="both"/>
        <w:rPr>
          <w:sz w:val="22"/>
          <w:szCs w:val="22"/>
        </w:rPr>
      </w:pPr>
      <w:r w:rsidRPr="00A812CD">
        <w:rPr>
          <w:b/>
          <w:bCs/>
          <w:sz w:val="22"/>
          <w:szCs w:val="22"/>
        </w:rPr>
        <w:t>Distinguished</w:t>
      </w:r>
      <w:r w:rsidRPr="00A812CD">
        <w:rPr>
          <w:sz w:val="22"/>
          <w:szCs w:val="22"/>
        </w:rPr>
        <w:t xml:space="preserve"> </w:t>
      </w:r>
    </w:p>
    <w:p w14:paraId="49BEBF64" w14:textId="77777777" w:rsidR="00A72CD6" w:rsidRDefault="00A72CD6" w:rsidP="00A72CD6">
      <w:pPr>
        <w:jc w:val="both"/>
        <w:rPr>
          <w:sz w:val="22"/>
          <w:szCs w:val="22"/>
        </w:rPr>
      </w:pPr>
      <w:r w:rsidRPr="00A812CD">
        <w:rPr>
          <w:sz w:val="22"/>
          <w:szCs w:val="22"/>
        </w:rPr>
        <w:t xml:space="preserve">Able to understand virtually all forms and styles of speech, has a strong understanding of social and cultural references.  Understands plays, movies, academic debates, literary readings, and most jokes and puns.  May have some difficulty with </w:t>
      </w:r>
      <w:proofErr w:type="gramStart"/>
      <w:r w:rsidRPr="00A812CD">
        <w:rPr>
          <w:sz w:val="22"/>
          <w:szCs w:val="22"/>
        </w:rPr>
        <w:t>non standard</w:t>
      </w:r>
      <w:proofErr w:type="gramEnd"/>
      <w:r w:rsidRPr="00A812CD">
        <w:rPr>
          <w:sz w:val="22"/>
          <w:szCs w:val="22"/>
        </w:rPr>
        <w:t xml:space="preserve"> dialects and slang.</w:t>
      </w:r>
    </w:p>
    <w:p w14:paraId="35C13340" w14:textId="77777777" w:rsidR="00A72CD6" w:rsidRDefault="00A72CD6" w:rsidP="00A72CD6">
      <w:pPr>
        <w:jc w:val="both"/>
        <w:rPr>
          <w:sz w:val="22"/>
          <w:szCs w:val="22"/>
        </w:rPr>
      </w:pPr>
    </w:p>
    <w:p w14:paraId="4FD7E282" w14:textId="77777777" w:rsidR="00A72CD6" w:rsidRPr="00F67556" w:rsidRDefault="00A72CD6" w:rsidP="0082302B">
      <w:pPr>
        <w:pStyle w:val="Heading3"/>
      </w:pPr>
      <w:bookmarkStart w:id="122" w:name="_Toc135655570"/>
      <w:r w:rsidRPr="00F67556">
        <w:t>ACTFL PROFICIENCY STANDARDS: SPEAKING</w:t>
      </w:r>
      <w:bookmarkEnd w:id="122"/>
    </w:p>
    <w:p w14:paraId="28198146" w14:textId="77777777" w:rsidR="00A72CD6" w:rsidRPr="00A812CD" w:rsidRDefault="00A72CD6" w:rsidP="00A72CD6">
      <w:pPr>
        <w:jc w:val="both"/>
        <w:rPr>
          <w:vanish/>
        </w:rPr>
      </w:pPr>
    </w:p>
    <w:p w14:paraId="7581316B" w14:textId="77777777" w:rsidR="00A72CD6" w:rsidRPr="00A812CD" w:rsidRDefault="00A72CD6" w:rsidP="00A72CD6">
      <w:pPr>
        <w:jc w:val="both"/>
        <w:rPr>
          <w:b/>
          <w:u w:val="single"/>
        </w:rPr>
      </w:pPr>
    </w:p>
    <w:p w14:paraId="7851D1A6" w14:textId="77777777" w:rsidR="00A72CD6" w:rsidRPr="00E3179D" w:rsidRDefault="00A72CD6" w:rsidP="00A72CD6">
      <w:pPr>
        <w:jc w:val="both"/>
        <w:rPr>
          <w:sz w:val="22"/>
          <w:szCs w:val="22"/>
        </w:rPr>
      </w:pPr>
      <w:r w:rsidRPr="00E3179D">
        <w:rPr>
          <w:b/>
          <w:bCs/>
          <w:sz w:val="22"/>
          <w:szCs w:val="22"/>
        </w:rPr>
        <w:t>Intermediate-Low</w:t>
      </w:r>
      <w:r w:rsidRPr="00E3179D">
        <w:rPr>
          <w:sz w:val="22"/>
          <w:szCs w:val="22"/>
        </w:rPr>
        <w:t xml:space="preserve"> </w:t>
      </w:r>
    </w:p>
    <w:p w14:paraId="75E4D034" w14:textId="77777777" w:rsidR="00A72CD6" w:rsidRPr="00E3179D" w:rsidRDefault="00A72CD6" w:rsidP="00A72CD6">
      <w:pPr>
        <w:jc w:val="both"/>
        <w:rPr>
          <w:bCs/>
          <w:sz w:val="22"/>
          <w:szCs w:val="22"/>
        </w:rPr>
      </w:pPr>
      <w:r w:rsidRPr="00E3179D">
        <w:rPr>
          <w:bCs/>
          <w:sz w:val="22"/>
          <w:szCs w:val="22"/>
        </w:rPr>
        <w:t xml:space="preserve">Able to successfully handle limited, face-to-face, conversation involving tasks and social situations such as introducing self, ordering meals, asking directions, and making purchases.  Strong inference from native language may occur and </w:t>
      </w:r>
      <w:proofErr w:type="gramStart"/>
      <w:r w:rsidRPr="00E3179D">
        <w:rPr>
          <w:bCs/>
          <w:sz w:val="22"/>
          <w:szCs w:val="22"/>
        </w:rPr>
        <w:t>misunderstands</w:t>
      </w:r>
      <w:proofErr w:type="gramEnd"/>
      <w:r w:rsidRPr="00E3179D">
        <w:rPr>
          <w:bCs/>
          <w:sz w:val="22"/>
          <w:szCs w:val="22"/>
        </w:rPr>
        <w:t xml:space="preserve"> are frequent. </w:t>
      </w:r>
    </w:p>
    <w:p w14:paraId="66144151" w14:textId="77777777" w:rsidR="00A72CD6" w:rsidRPr="00E3179D" w:rsidRDefault="00A72CD6" w:rsidP="00A72CD6">
      <w:pPr>
        <w:jc w:val="both"/>
        <w:rPr>
          <w:bCs/>
          <w:sz w:val="22"/>
          <w:szCs w:val="22"/>
        </w:rPr>
      </w:pPr>
    </w:p>
    <w:p w14:paraId="321AA5F4" w14:textId="77777777" w:rsidR="00A72CD6" w:rsidRPr="00E3179D" w:rsidRDefault="00A72CD6" w:rsidP="00A72CD6">
      <w:pPr>
        <w:jc w:val="both"/>
        <w:rPr>
          <w:b/>
          <w:bCs/>
          <w:sz w:val="22"/>
          <w:szCs w:val="22"/>
        </w:rPr>
      </w:pPr>
      <w:r w:rsidRPr="00E3179D">
        <w:rPr>
          <w:b/>
          <w:bCs/>
          <w:sz w:val="22"/>
          <w:szCs w:val="22"/>
        </w:rPr>
        <w:t>Intermediate-Mid</w:t>
      </w:r>
      <w:r w:rsidRPr="00E3179D">
        <w:rPr>
          <w:sz w:val="22"/>
          <w:szCs w:val="22"/>
        </w:rPr>
        <w:t xml:space="preserve"> </w:t>
      </w:r>
    </w:p>
    <w:p w14:paraId="435D6033" w14:textId="77777777" w:rsidR="00A72CD6" w:rsidRPr="00E3179D" w:rsidRDefault="00A72CD6" w:rsidP="00A72CD6">
      <w:pPr>
        <w:jc w:val="both"/>
        <w:rPr>
          <w:sz w:val="22"/>
          <w:szCs w:val="22"/>
        </w:rPr>
      </w:pPr>
      <w:r w:rsidRPr="00E3179D">
        <w:rPr>
          <w:sz w:val="22"/>
          <w:szCs w:val="22"/>
        </w:rPr>
        <w:t xml:space="preserve">Able to successfully handle a variety of simple </w:t>
      </w:r>
      <w:proofErr w:type="gramStart"/>
      <w:r w:rsidRPr="00E3179D">
        <w:rPr>
          <w:sz w:val="22"/>
          <w:szCs w:val="22"/>
        </w:rPr>
        <w:t>conversation</w:t>
      </w:r>
      <w:proofErr w:type="gramEnd"/>
      <w:r w:rsidRPr="00E3179D">
        <w:rPr>
          <w:sz w:val="22"/>
          <w:szCs w:val="22"/>
        </w:rPr>
        <w:t xml:space="preserve"> involving tasks and social situations beyond their most immediate needs (personal history, leisure time activities).  Speech length increases slightly, but frequent long pauses are likely.  Pronunciation may still be strongly influenced by native language. Misunderstandings still arise.</w:t>
      </w:r>
    </w:p>
    <w:p w14:paraId="70406735" w14:textId="77777777" w:rsidR="00A72CD6" w:rsidRPr="00E3179D" w:rsidRDefault="00A72CD6" w:rsidP="00A72CD6">
      <w:pPr>
        <w:jc w:val="both"/>
        <w:rPr>
          <w:vanish/>
          <w:sz w:val="22"/>
          <w:szCs w:val="22"/>
        </w:rPr>
      </w:pPr>
    </w:p>
    <w:p w14:paraId="71C43E8F" w14:textId="77777777" w:rsidR="00A72CD6" w:rsidRPr="00E3179D" w:rsidRDefault="00A72CD6" w:rsidP="00A72CD6">
      <w:pPr>
        <w:jc w:val="both"/>
        <w:rPr>
          <w:b/>
          <w:sz w:val="22"/>
          <w:szCs w:val="22"/>
          <w:u w:val="single"/>
        </w:rPr>
      </w:pPr>
    </w:p>
    <w:p w14:paraId="10A0D9C8" w14:textId="77777777" w:rsidR="00A72CD6" w:rsidRPr="00E3179D" w:rsidRDefault="00A72CD6" w:rsidP="00A72CD6">
      <w:pPr>
        <w:jc w:val="both"/>
        <w:rPr>
          <w:sz w:val="22"/>
          <w:szCs w:val="22"/>
        </w:rPr>
      </w:pPr>
      <w:r w:rsidRPr="00E3179D">
        <w:rPr>
          <w:b/>
          <w:bCs/>
          <w:sz w:val="22"/>
          <w:szCs w:val="22"/>
        </w:rPr>
        <w:t>Intermediate-High</w:t>
      </w:r>
      <w:r w:rsidRPr="00E3179D">
        <w:rPr>
          <w:sz w:val="22"/>
          <w:szCs w:val="22"/>
        </w:rPr>
        <w:t xml:space="preserve"> </w:t>
      </w:r>
    </w:p>
    <w:p w14:paraId="05CF7B71" w14:textId="77777777" w:rsidR="00A72CD6" w:rsidRPr="00E3179D" w:rsidRDefault="00A72CD6" w:rsidP="00A72CD6">
      <w:pPr>
        <w:jc w:val="both"/>
        <w:rPr>
          <w:sz w:val="22"/>
          <w:szCs w:val="22"/>
        </w:rPr>
      </w:pPr>
      <w:r w:rsidRPr="00E3179D">
        <w:rPr>
          <w:sz w:val="22"/>
          <w:szCs w:val="22"/>
        </w:rPr>
        <w:t xml:space="preserve">Able to successfully handle most simple conversations involving task and social situations, as well as general conversation on a range of circumstances and topics.  Errors are evident and limited vocabulary may cause </w:t>
      </w:r>
      <w:proofErr w:type="gramStart"/>
      <w:r w:rsidRPr="00E3179D">
        <w:rPr>
          <w:sz w:val="22"/>
          <w:szCs w:val="22"/>
        </w:rPr>
        <w:t>speaker</w:t>
      </w:r>
      <w:proofErr w:type="gramEnd"/>
      <w:r w:rsidRPr="00E3179D">
        <w:rPr>
          <w:sz w:val="22"/>
          <w:szCs w:val="22"/>
        </w:rPr>
        <w:t xml:space="preserve"> to hesitate and ramble.  Simple narration and/or description is improved.</w:t>
      </w:r>
    </w:p>
    <w:p w14:paraId="03BF50DB" w14:textId="77777777" w:rsidR="00A72CD6" w:rsidRPr="00E3179D" w:rsidRDefault="00A72CD6" w:rsidP="00A72CD6">
      <w:pPr>
        <w:jc w:val="both"/>
        <w:rPr>
          <w:sz w:val="22"/>
          <w:szCs w:val="22"/>
        </w:rPr>
      </w:pPr>
    </w:p>
    <w:p w14:paraId="5D8D9AE1" w14:textId="77777777" w:rsidR="00A72CD6" w:rsidRPr="00E3179D" w:rsidRDefault="00A72CD6" w:rsidP="00A72CD6">
      <w:pPr>
        <w:jc w:val="both"/>
        <w:rPr>
          <w:b/>
          <w:bCs/>
          <w:sz w:val="22"/>
          <w:szCs w:val="22"/>
        </w:rPr>
      </w:pPr>
      <w:r w:rsidRPr="00E3179D">
        <w:rPr>
          <w:b/>
          <w:bCs/>
          <w:sz w:val="22"/>
          <w:szCs w:val="22"/>
        </w:rPr>
        <w:t>Advanced</w:t>
      </w:r>
    </w:p>
    <w:p w14:paraId="1C7B81DB" w14:textId="77777777" w:rsidR="00A72CD6" w:rsidRPr="00E3179D" w:rsidRDefault="00A72CD6" w:rsidP="00A72CD6">
      <w:pPr>
        <w:jc w:val="both"/>
        <w:rPr>
          <w:sz w:val="22"/>
          <w:szCs w:val="22"/>
        </w:rPr>
      </w:pPr>
      <w:r w:rsidRPr="00E3179D">
        <w:rPr>
          <w:sz w:val="22"/>
          <w:szCs w:val="22"/>
        </w:rPr>
        <w:t xml:space="preserve">Able to successfully handle conversations required in everyday situations, and routine school and work requirements.  Complicated tasks and social situations (elaborating, complaining, apologizing) may still be difficult.  Can narrate and describe with some details, linking sentences together smoothly. Can communicate facts and talk casually about topics of current public and personal interest, using general vocabulary.  Weaknesses can be smoothed over by pause fillers and different rates of speech.  Some groping for words may still be evident. </w:t>
      </w:r>
    </w:p>
    <w:p w14:paraId="49317969" w14:textId="77777777" w:rsidR="00A72CD6" w:rsidRPr="00E3179D" w:rsidRDefault="00A72CD6" w:rsidP="00A72CD6">
      <w:pPr>
        <w:jc w:val="both"/>
        <w:rPr>
          <w:sz w:val="22"/>
          <w:szCs w:val="22"/>
        </w:rPr>
      </w:pPr>
    </w:p>
    <w:p w14:paraId="0A0B9C98" w14:textId="77777777" w:rsidR="00A72CD6" w:rsidRPr="00E3179D" w:rsidRDefault="00A72CD6" w:rsidP="00A72CD6">
      <w:pPr>
        <w:jc w:val="both"/>
        <w:rPr>
          <w:sz w:val="22"/>
          <w:szCs w:val="22"/>
        </w:rPr>
      </w:pPr>
      <w:r w:rsidRPr="00E3179D">
        <w:rPr>
          <w:b/>
          <w:bCs/>
          <w:sz w:val="22"/>
          <w:szCs w:val="22"/>
        </w:rPr>
        <w:t>Advanced Plus</w:t>
      </w:r>
      <w:r w:rsidRPr="00E3179D">
        <w:rPr>
          <w:sz w:val="22"/>
          <w:szCs w:val="22"/>
        </w:rPr>
        <w:t xml:space="preserve"> </w:t>
      </w:r>
    </w:p>
    <w:p w14:paraId="7A8338D3" w14:textId="77777777" w:rsidR="00A72CD6" w:rsidRPr="00E3179D" w:rsidRDefault="00A72CD6" w:rsidP="00A72CD6">
      <w:pPr>
        <w:jc w:val="both"/>
        <w:rPr>
          <w:sz w:val="22"/>
          <w:szCs w:val="22"/>
        </w:rPr>
      </w:pPr>
      <w:r w:rsidRPr="00E3179D">
        <w:rPr>
          <w:sz w:val="22"/>
          <w:szCs w:val="22"/>
        </w:rPr>
        <w:t xml:space="preserve">Able to successfully handle a broad variety of everyday, school, and work conversations, as well as discuss concrete topics relating to interests and special fields of competence.  Speaker is beginning to be able to support opinions, explain in detail, and hypothesize. Has a well-developed ability to compensate for weaknesses by paraphrasing.  Can communicate fine shades of meaning with inflection and differentiated vocabulary.  </w:t>
      </w:r>
    </w:p>
    <w:p w14:paraId="1727ED0B" w14:textId="77777777" w:rsidR="00A72CD6" w:rsidRPr="00E3179D" w:rsidRDefault="00A72CD6" w:rsidP="00A72CD6">
      <w:pPr>
        <w:jc w:val="both"/>
        <w:rPr>
          <w:b/>
          <w:sz w:val="22"/>
          <w:szCs w:val="22"/>
        </w:rPr>
      </w:pPr>
    </w:p>
    <w:p w14:paraId="71BD722B" w14:textId="77777777" w:rsidR="00A72CD6" w:rsidRPr="00E3179D" w:rsidRDefault="00A72CD6" w:rsidP="00A72CD6">
      <w:pPr>
        <w:jc w:val="both"/>
        <w:rPr>
          <w:sz w:val="22"/>
          <w:szCs w:val="22"/>
        </w:rPr>
      </w:pPr>
      <w:r w:rsidRPr="00E3179D">
        <w:rPr>
          <w:b/>
          <w:sz w:val="22"/>
          <w:szCs w:val="22"/>
        </w:rPr>
        <w:t>Superior</w:t>
      </w:r>
    </w:p>
    <w:p w14:paraId="0BD1DE26" w14:textId="77777777" w:rsidR="00A72CD6" w:rsidRPr="00E3179D" w:rsidRDefault="00A72CD6" w:rsidP="00A72CD6">
      <w:pPr>
        <w:jc w:val="both"/>
        <w:rPr>
          <w:sz w:val="22"/>
          <w:szCs w:val="22"/>
        </w:rPr>
      </w:pPr>
      <w:r w:rsidRPr="00E3179D">
        <w:rPr>
          <w:sz w:val="22"/>
          <w:szCs w:val="22"/>
        </w:rPr>
        <w:t xml:space="preserve">Able to speak the language with sufficient accuracy to participate effectively in most formal and informal conversations on practical, social, professional, and abstract topics. Can discuss special fields of competence and interest with ease. Can support opinions and </w:t>
      </w:r>
      <w:proofErr w:type="gramStart"/>
      <w:r w:rsidRPr="00E3179D">
        <w:rPr>
          <w:sz w:val="22"/>
          <w:szCs w:val="22"/>
        </w:rPr>
        <w:t>hypothesize, but</w:t>
      </w:r>
      <w:proofErr w:type="gramEnd"/>
      <w:r w:rsidRPr="00E3179D">
        <w:rPr>
          <w:sz w:val="22"/>
          <w:szCs w:val="22"/>
        </w:rPr>
        <w:t xml:space="preserve"> may not be able to tailor language to audience or discuss in depth highly abstract or unfamiliar topics. </w:t>
      </w:r>
      <w:proofErr w:type="gramStart"/>
      <w:r w:rsidRPr="00E3179D">
        <w:rPr>
          <w:sz w:val="22"/>
          <w:szCs w:val="22"/>
        </w:rPr>
        <w:t>Speaker</w:t>
      </w:r>
      <w:proofErr w:type="gramEnd"/>
      <w:r w:rsidRPr="00E3179D">
        <w:rPr>
          <w:sz w:val="22"/>
          <w:szCs w:val="22"/>
        </w:rPr>
        <w:t xml:space="preserve"> commands a wide variety of interactive strategies and shows good awareness of discourse strategies. Can distinguish main ideas from supporting information. No patterns of error are evident.</w:t>
      </w:r>
    </w:p>
    <w:p w14:paraId="0D441B78" w14:textId="77777777" w:rsidR="00A72CD6" w:rsidRPr="00A812CD" w:rsidRDefault="00A72CD6" w:rsidP="00A72CD6">
      <w:pPr>
        <w:jc w:val="both"/>
        <w:rPr>
          <w:b/>
          <w:u w:val="single"/>
        </w:rPr>
      </w:pPr>
    </w:p>
    <w:p w14:paraId="08DE7EE6" w14:textId="77777777" w:rsidR="00A72CD6" w:rsidRPr="00A812CD" w:rsidRDefault="00A72CD6" w:rsidP="00A72CD6">
      <w:pPr>
        <w:jc w:val="both"/>
        <w:rPr>
          <w:b/>
          <w:u w:val="single"/>
        </w:rPr>
      </w:pPr>
    </w:p>
    <w:p w14:paraId="5AB6E8C9" w14:textId="77777777" w:rsidR="00A72CD6" w:rsidRPr="00F67556" w:rsidRDefault="00A72CD6" w:rsidP="0082302B">
      <w:pPr>
        <w:pStyle w:val="Heading3"/>
      </w:pPr>
      <w:bookmarkStart w:id="123" w:name="_Toc135655571"/>
      <w:r w:rsidRPr="00F67556">
        <w:t>ACTFL PROFICIENCY STANDARDS: READING</w:t>
      </w:r>
      <w:bookmarkEnd w:id="123"/>
    </w:p>
    <w:p w14:paraId="360D5FCE" w14:textId="77777777" w:rsidR="00A72CD6" w:rsidRPr="00A812CD" w:rsidRDefault="00A72CD6" w:rsidP="00A72CD6">
      <w:pPr>
        <w:jc w:val="both"/>
        <w:rPr>
          <w:b/>
          <w:bCs/>
          <w:u w:val="single"/>
        </w:rPr>
      </w:pPr>
    </w:p>
    <w:p w14:paraId="3A21342F" w14:textId="77777777" w:rsidR="00A72CD6" w:rsidRPr="00A812CD" w:rsidRDefault="00A72CD6" w:rsidP="00A72CD6">
      <w:pPr>
        <w:jc w:val="both"/>
        <w:rPr>
          <w:sz w:val="22"/>
          <w:szCs w:val="22"/>
        </w:rPr>
      </w:pPr>
      <w:r w:rsidRPr="00A812CD">
        <w:rPr>
          <w:b/>
          <w:bCs/>
          <w:sz w:val="22"/>
          <w:szCs w:val="22"/>
        </w:rPr>
        <w:t>Intermediate-Low</w:t>
      </w:r>
      <w:r w:rsidRPr="00A812CD">
        <w:rPr>
          <w:sz w:val="22"/>
          <w:szCs w:val="22"/>
        </w:rPr>
        <w:t xml:space="preserve"> </w:t>
      </w:r>
    </w:p>
    <w:p w14:paraId="26DBBA74" w14:textId="77777777" w:rsidR="00A72CD6" w:rsidRPr="00A812CD" w:rsidRDefault="00A72CD6" w:rsidP="00A72CD6">
      <w:pPr>
        <w:jc w:val="both"/>
        <w:rPr>
          <w:bCs/>
          <w:sz w:val="22"/>
          <w:szCs w:val="22"/>
        </w:rPr>
      </w:pPr>
      <w:r w:rsidRPr="00A812CD">
        <w:rPr>
          <w:bCs/>
          <w:sz w:val="22"/>
          <w:szCs w:val="22"/>
        </w:rPr>
        <w:t>Able to understand main ideas and/or some facts from the simplest test about basic personal and social needs.  Examples of texts include messages with social purposes and information for the widest possible audiences, such as public announcements and short, straightforward instructions dealing with public life.  Some misunderstandings will occur.</w:t>
      </w:r>
    </w:p>
    <w:p w14:paraId="568CC3A3" w14:textId="77777777" w:rsidR="00A72CD6" w:rsidRPr="00A812CD" w:rsidRDefault="00A72CD6" w:rsidP="00A72CD6">
      <w:pPr>
        <w:jc w:val="both"/>
        <w:rPr>
          <w:b/>
          <w:bCs/>
          <w:sz w:val="22"/>
          <w:szCs w:val="22"/>
        </w:rPr>
      </w:pPr>
    </w:p>
    <w:p w14:paraId="713A39B3" w14:textId="77777777" w:rsidR="00A72CD6" w:rsidRPr="00A812CD" w:rsidRDefault="00A72CD6" w:rsidP="00A72CD6">
      <w:pPr>
        <w:jc w:val="both"/>
        <w:rPr>
          <w:sz w:val="22"/>
          <w:szCs w:val="22"/>
        </w:rPr>
      </w:pPr>
      <w:r w:rsidRPr="00A812CD">
        <w:rPr>
          <w:b/>
          <w:bCs/>
          <w:sz w:val="22"/>
          <w:szCs w:val="22"/>
        </w:rPr>
        <w:t>Intermediate-Mid</w:t>
      </w:r>
      <w:r w:rsidRPr="00A812CD">
        <w:rPr>
          <w:sz w:val="22"/>
          <w:szCs w:val="22"/>
        </w:rPr>
        <w:t xml:space="preserve"> </w:t>
      </w:r>
    </w:p>
    <w:p w14:paraId="61C48109" w14:textId="77777777" w:rsidR="00A72CD6" w:rsidRPr="00A812CD" w:rsidRDefault="00A72CD6" w:rsidP="00A72CD6">
      <w:pPr>
        <w:jc w:val="both"/>
        <w:rPr>
          <w:sz w:val="22"/>
          <w:szCs w:val="22"/>
        </w:rPr>
      </w:pPr>
      <w:r w:rsidRPr="00A812CD">
        <w:rPr>
          <w:sz w:val="22"/>
          <w:szCs w:val="22"/>
        </w:rPr>
        <w:lastRenderedPageBreak/>
        <w:t>Able to read consistently with increased understanding simple texts dealing with basic personal and social needs about which the reader has personal interest and/or knowledge.  Texts provide basic information and guesswork is minimal for the reader. Examples include short, straightforward descriptions of persons, places, and things written for a wide audience.</w:t>
      </w:r>
    </w:p>
    <w:p w14:paraId="4A971D98" w14:textId="77777777" w:rsidR="00A72CD6" w:rsidRPr="00A812CD" w:rsidRDefault="00A72CD6" w:rsidP="00A72CD6">
      <w:pPr>
        <w:jc w:val="both"/>
        <w:rPr>
          <w:b/>
          <w:bCs/>
          <w:sz w:val="22"/>
          <w:szCs w:val="22"/>
        </w:rPr>
      </w:pPr>
    </w:p>
    <w:p w14:paraId="22573C91" w14:textId="77777777" w:rsidR="00A72CD6" w:rsidRPr="00A812CD" w:rsidRDefault="00A72CD6" w:rsidP="00A72CD6">
      <w:pPr>
        <w:jc w:val="both"/>
        <w:rPr>
          <w:sz w:val="22"/>
          <w:szCs w:val="22"/>
        </w:rPr>
      </w:pPr>
      <w:r w:rsidRPr="00A812CD">
        <w:rPr>
          <w:b/>
          <w:bCs/>
          <w:sz w:val="22"/>
          <w:szCs w:val="22"/>
        </w:rPr>
        <w:t>Intermediate-High</w:t>
      </w:r>
      <w:r w:rsidRPr="00A812CD">
        <w:rPr>
          <w:sz w:val="22"/>
          <w:szCs w:val="22"/>
        </w:rPr>
        <w:t xml:space="preserve"> </w:t>
      </w:r>
    </w:p>
    <w:p w14:paraId="07BB532E" w14:textId="77777777" w:rsidR="00A72CD6" w:rsidRPr="00A812CD" w:rsidRDefault="00A72CD6" w:rsidP="00A72CD6">
      <w:pPr>
        <w:jc w:val="both"/>
        <w:rPr>
          <w:bCs/>
          <w:sz w:val="22"/>
          <w:szCs w:val="22"/>
        </w:rPr>
      </w:pPr>
      <w:r w:rsidRPr="00A812CD">
        <w:rPr>
          <w:bCs/>
          <w:sz w:val="22"/>
          <w:szCs w:val="22"/>
        </w:rPr>
        <w:t xml:space="preserve">Able to read consistently with full understanding simple texts dealing with basic personal and social needs about which the reader has personal interest and/or knowledge.  Can understand some main ideas from texts at </w:t>
      </w:r>
      <w:proofErr w:type="gramStart"/>
      <w:r w:rsidRPr="00A812CD">
        <w:rPr>
          <w:bCs/>
          <w:sz w:val="22"/>
          <w:szCs w:val="22"/>
        </w:rPr>
        <w:t>next</w:t>
      </w:r>
      <w:proofErr w:type="gramEnd"/>
      <w:r w:rsidRPr="00A812CD">
        <w:rPr>
          <w:bCs/>
          <w:sz w:val="22"/>
          <w:szCs w:val="22"/>
        </w:rPr>
        <w:t xml:space="preserve"> higher level featuring description and narration.  Basic grammatical relations may be misinterpreted.  Tests do not differ significantly from those at the Advanced level, comprehension is less consistent.  May have to read several times </w:t>
      </w:r>
      <w:proofErr w:type="gramStart"/>
      <w:r w:rsidRPr="00A812CD">
        <w:rPr>
          <w:bCs/>
          <w:sz w:val="22"/>
          <w:szCs w:val="22"/>
        </w:rPr>
        <w:t>for understanding</w:t>
      </w:r>
      <w:proofErr w:type="gramEnd"/>
      <w:r w:rsidRPr="00A812CD">
        <w:rPr>
          <w:bCs/>
          <w:sz w:val="22"/>
          <w:szCs w:val="22"/>
        </w:rPr>
        <w:t>.</w:t>
      </w:r>
    </w:p>
    <w:p w14:paraId="3872D0A5" w14:textId="77777777" w:rsidR="00A72CD6" w:rsidRPr="00A812CD" w:rsidRDefault="00A72CD6" w:rsidP="00A72CD6">
      <w:pPr>
        <w:jc w:val="both"/>
        <w:rPr>
          <w:b/>
          <w:bCs/>
          <w:sz w:val="22"/>
          <w:szCs w:val="22"/>
        </w:rPr>
      </w:pPr>
    </w:p>
    <w:p w14:paraId="27BB27FA" w14:textId="77777777" w:rsidR="00A72CD6" w:rsidRPr="00A812CD" w:rsidRDefault="00A72CD6" w:rsidP="00A72CD6">
      <w:pPr>
        <w:jc w:val="both"/>
        <w:rPr>
          <w:sz w:val="22"/>
          <w:szCs w:val="22"/>
        </w:rPr>
      </w:pPr>
      <w:r w:rsidRPr="00A812CD">
        <w:rPr>
          <w:b/>
          <w:bCs/>
          <w:sz w:val="22"/>
          <w:szCs w:val="22"/>
        </w:rPr>
        <w:t>Advanced</w:t>
      </w:r>
      <w:r w:rsidRPr="00A812CD">
        <w:rPr>
          <w:sz w:val="22"/>
          <w:szCs w:val="22"/>
        </w:rPr>
        <w:t xml:space="preserve"> </w:t>
      </w:r>
    </w:p>
    <w:p w14:paraId="51F97A16" w14:textId="77777777" w:rsidR="00A72CD6" w:rsidRPr="00A812CD" w:rsidRDefault="00A72CD6" w:rsidP="00A72CD6">
      <w:pPr>
        <w:jc w:val="both"/>
        <w:rPr>
          <w:sz w:val="22"/>
          <w:szCs w:val="22"/>
        </w:rPr>
      </w:pPr>
      <w:r w:rsidRPr="00A812CD">
        <w:rPr>
          <w:sz w:val="22"/>
          <w:szCs w:val="22"/>
        </w:rPr>
        <w:t xml:space="preserve">Able to read longer prose with familiar sentence patterns.  Reader gets the main ideas and facts, may miss some detail.  Comprehension comes from situational and subject matter knowledge as well as increasing control of the language.  Texts include descriptions and narrations such as simple short stories, news items, social notices, correspondence, and simple technical material written for </w:t>
      </w:r>
      <w:proofErr w:type="gramStart"/>
      <w:r w:rsidRPr="00A812CD">
        <w:rPr>
          <w:sz w:val="22"/>
          <w:szCs w:val="22"/>
        </w:rPr>
        <w:t>a the</w:t>
      </w:r>
      <w:proofErr w:type="gramEnd"/>
      <w:r w:rsidRPr="00A812CD">
        <w:rPr>
          <w:sz w:val="22"/>
          <w:szCs w:val="22"/>
        </w:rPr>
        <w:t xml:space="preserve"> general reader.</w:t>
      </w:r>
    </w:p>
    <w:p w14:paraId="6ACD76C8" w14:textId="77777777" w:rsidR="00A72CD6" w:rsidRPr="00A812CD" w:rsidRDefault="00A72CD6" w:rsidP="00A72CD6">
      <w:pPr>
        <w:jc w:val="both"/>
        <w:rPr>
          <w:sz w:val="22"/>
          <w:szCs w:val="22"/>
        </w:rPr>
      </w:pPr>
    </w:p>
    <w:p w14:paraId="6752B9DC" w14:textId="77777777" w:rsidR="00A72CD6" w:rsidRPr="00A812CD" w:rsidRDefault="00A72CD6" w:rsidP="00A72CD6">
      <w:pPr>
        <w:jc w:val="both"/>
        <w:rPr>
          <w:sz w:val="22"/>
          <w:szCs w:val="22"/>
        </w:rPr>
      </w:pPr>
      <w:r w:rsidRPr="00A812CD">
        <w:rPr>
          <w:b/>
          <w:bCs/>
          <w:sz w:val="22"/>
          <w:szCs w:val="22"/>
        </w:rPr>
        <w:t>Advanced Plus</w:t>
      </w:r>
      <w:r w:rsidRPr="00A812CD">
        <w:rPr>
          <w:sz w:val="22"/>
          <w:szCs w:val="22"/>
        </w:rPr>
        <w:t xml:space="preserve"> </w:t>
      </w:r>
    </w:p>
    <w:p w14:paraId="6BB119A4" w14:textId="77777777" w:rsidR="00A72CD6" w:rsidRPr="00A812CD" w:rsidRDefault="00A72CD6" w:rsidP="00A72CD6">
      <w:pPr>
        <w:jc w:val="both"/>
        <w:rPr>
          <w:sz w:val="22"/>
          <w:szCs w:val="22"/>
        </w:rPr>
      </w:pPr>
      <w:r w:rsidRPr="00A812CD">
        <w:rPr>
          <w:sz w:val="22"/>
          <w:szCs w:val="22"/>
        </w:rPr>
        <w:t>Able to follow essential points at the Superior level in areas of special interest or knowledge.  Able to understand parts of texts which are conceptually abstract and have complex language, and/or texts with unfamiliar topics, situations, or cultural references.  Awareness of aesthetic properties of languages is emerging permitting comprehension of a wider variety of texts.  Misunderstandings may occur.</w:t>
      </w:r>
    </w:p>
    <w:p w14:paraId="043197ED" w14:textId="77777777" w:rsidR="00A72CD6" w:rsidRPr="00A812CD" w:rsidRDefault="00A72CD6" w:rsidP="00A72CD6">
      <w:pPr>
        <w:jc w:val="both"/>
        <w:rPr>
          <w:b/>
          <w:sz w:val="22"/>
          <w:szCs w:val="22"/>
        </w:rPr>
      </w:pPr>
    </w:p>
    <w:p w14:paraId="7D9E0F93" w14:textId="77777777" w:rsidR="00A72CD6" w:rsidRPr="00A812CD" w:rsidRDefault="00A72CD6" w:rsidP="00A72CD6">
      <w:pPr>
        <w:jc w:val="both"/>
        <w:rPr>
          <w:b/>
          <w:sz w:val="22"/>
          <w:szCs w:val="22"/>
        </w:rPr>
      </w:pPr>
      <w:r w:rsidRPr="00A812CD">
        <w:rPr>
          <w:b/>
          <w:sz w:val="22"/>
          <w:szCs w:val="22"/>
        </w:rPr>
        <w:t>Superior</w:t>
      </w:r>
    </w:p>
    <w:p w14:paraId="33C86840" w14:textId="77777777" w:rsidR="00A72CD6" w:rsidRPr="00A812CD" w:rsidRDefault="00A72CD6" w:rsidP="00A72CD6">
      <w:pPr>
        <w:jc w:val="both"/>
        <w:rPr>
          <w:sz w:val="22"/>
          <w:szCs w:val="22"/>
        </w:rPr>
      </w:pPr>
      <w:r w:rsidRPr="00A812CD">
        <w:rPr>
          <w:sz w:val="22"/>
          <w:szCs w:val="22"/>
        </w:rPr>
        <w:t xml:space="preserve">Able to read with almost complete comprehension at normal speed on unfamiliar subjects and a variety of texts. Readers </w:t>
      </w:r>
      <w:proofErr w:type="gramStart"/>
      <w:r w:rsidRPr="00A812CD">
        <w:rPr>
          <w:sz w:val="22"/>
          <w:szCs w:val="22"/>
        </w:rPr>
        <w:t>is</w:t>
      </w:r>
      <w:proofErr w:type="gramEnd"/>
      <w:r w:rsidRPr="00A812CD">
        <w:rPr>
          <w:sz w:val="22"/>
          <w:szCs w:val="22"/>
        </w:rPr>
        <w:t xml:space="preserve"> not expected to thoroughly comprehend texts requiring a high degree of knowledge of the target culture.  Texts feature hypotheses, argumentation, grammatical patterns, and academic/professional vocabulary. Occasional misunderstandings may still occur due to </w:t>
      </w:r>
      <w:proofErr w:type="gramStart"/>
      <w:r w:rsidRPr="00A812CD">
        <w:rPr>
          <w:sz w:val="22"/>
          <w:szCs w:val="22"/>
        </w:rPr>
        <w:t>use</w:t>
      </w:r>
      <w:proofErr w:type="gramEnd"/>
      <w:r w:rsidRPr="00A812CD">
        <w:rPr>
          <w:sz w:val="22"/>
          <w:szCs w:val="22"/>
        </w:rPr>
        <w:t xml:space="preserve"> of uncommon phrases. Material includes a variety of literary texts, editorials, correspondence, general reports, and technical material in professional fields.  Rereading is rarely necessary.</w:t>
      </w:r>
    </w:p>
    <w:p w14:paraId="2A541DD1" w14:textId="77777777" w:rsidR="00A72CD6" w:rsidRPr="00A812CD" w:rsidRDefault="00A72CD6" w:rsidP="00A72CD6">
      <w:pPr>
        <w:jc w:val="both"/>
        <w:rPr>
          <w:sz w:val="22"/>
          <w:szCs w:val="22"/>
        </w:rPr>
      </w:pPr>
    </w:p>
    <w:p w14:paraId="7808A819" w14:textId="77777777" w:rsidR="00A72CD6" w:rsidRPr="00A812CD" w:rsidRDefault="00A72CD6" w:rsidP="00A72CD6">
      <w:pPr>
        <w:jc w:val="both"/>
        <w:rPr>
          <w:vanish/>
          <w:sz w:val="22"/>
          <w:szCs w:val="22"/>
        </w:rPr>
      </w:pPr>
    </w:p>
    <w:p w14:paraId="7F25CABA" w14:textId="77777777" w:rsidR="00A72CD6" w:rsidRPr="00A812CD" w:rsidRDefault="00A72CD6" w:rsidP="00A72CD6">
      <w:pPr>
        <w:jc w:val="both"/>
        <w:rPr>
          <w:b/>
          <w:sz w:val="22"/>
          <w:szCs w:val="22"/>
        </w:rPr>
      </w:pPr>
      <w:r w:rsidRPr="00A812CD">
        <w:rPr>
          <w:b/>
          <w:sz w:val="22"/>
          <w:szCs w:val="22"/>
        </w:rPr>
        <w:t>Distinguished</w:t>
      </w:r>
    </w:p>
    <w:p w14:paraId="67DF4751" w14:textId="77777777" w:rsidR="00A72CD6" w:rsidRPr="00A812CD" w:rsidRDefault="00A72CD6" w:rsidP="00A72CD6">
      <w:pPr>
        <w:jc w:val="both"/>
        <w:rPr>
          <w:sz w:val="22"/>
          <w:szCs w:val="22"/>
        </w:rPr>
      </w:pPr>
      <w:r w:rsidRPr="00A812CD">
        <w:rPr>
          <w:sz w:val="22"/>
          <w:szCs w:val="22"/>
        </w:rPr>
        <w:t xml:space="preserve">Able to read fluently and </w:t>
      </w:r>
      <w:proofErr w:type="gramStart"/>
      <w:r w:rsidRPr="00A812CD">
        <w:rPr>
          <w:sz w:val="22"/>
          <w:szCs w:val="22"/>
        </w:rPr>
        <w:t>accurately</w:t>
      </w:r>
      <w:proofErr w:type="gramEnd"/>
      <w:r w:rsidRPr="00A812CD">
        <w:rPr>
          <w:sz w:val="22"/>
          <w:szCs w:val="22"/>
        </w:rPr>
        <w:t xml:space="preserve"> most styles and forms. Able to understand references in text to real-world knowledge and almost all sociolinguistic and cultural references. Able to understand nuance and </w:t>
      </w:r>
      <w:proofErr w:type="gramStart"/>
      <w:r w:rsidRPr="00A812CD">
        <w:rPr>
          <w:sz w:val="22"/>
          <w:szCs w:val="22"/>
        </w:rPr>
        <w:t>subtlety, and</w:t>
      </w:r>
      <w:proofErr w:type="gramEnd"/>
      <w:r w:rsidRPr="00A812CD">
        <w:rPr>
          <w:sz w:val="22"/>
          <w:szCs w:val="22"/>
        </w:rPr>
        <w:t xml:space="preserve"> follow unpredictable turns of thought.  Text </w:t>
      </w:r>
      <w:proofErr w:type="gramStart"/>
      <w:r w:rsidRPr="00A812CD">
        <w:rPr>
          <w:sz w:val="22"/>
          <w:szCs w:val="22"/>
        </w:rPr>
        <w:t>include</w:t>
      </w:r>
      <w:proofErr w:type="gramEnd"/>
      <w:r w:rsidRPr="00A812CD">
        <w:rPr>
          <w:sz w:val="22"/>
          <w:szCs w:val="22"/>
        </w:rPr>
        <w:t xml:space="preserve"> </w:t>
      </w:r>
      <w:r>
        <w:rPr>
          <w:sz w:val="22"/>
          <w:szCs w:val="22"/>
        </w:rPr>
        <w:t xml:space="preserve">sophisticated </w:t>
      </w:r>
      <w:r w:rsidRPr="00A812CD">
        <w:rPr>
          <w:sz w:val="22"/>
          <w:szCs w:val="22"/>
        </w:rPr>
        <w:t>editorials, specialized journal articles, novels, plays, poems, as well as any subject matter area directed to the general reader.</w:t>
      </w:r>
    </w:p>
    <w:p w14:paraId="7BBFD11A" w14:textId="77777777" w:rsidR="00A72CD6" w:rsidRPr="00A812CD" w:rsidRDefault="00A72CD6" w:rsidP="00A72CD6">
      <w:pPr>
        <w:jc w:val="both"/>
        <w:rPr>
          <w:b/>
          <w:u w:val="single"/>
        </w:rPr>
      </w:pPr>
    </w:p>
    <w:p w14:paraId="08C5DB1E" w14:textId="77777777" w:rsidR="00A72CD6" w:rsidRPr="00A812CD" w:rsidRDefault="00A72CD6" w:rsidP="00A72CD6">
      <w:pPr>
        <w:jc w:val="both"/>
        <w:rPr>
          <w:b/>
          <w:u w:val="single"/>
        </w:rPr>
      </w:pPr>
    </w:p>
    <w:p w14:paraId="2973CD5D" w14:textId="77777777" w:rsidR="00A72CD6" w:rsidRPr="00F67556" w:rsidRDefault="00A72CD6" w:rsidP="0082302B">
      <w:pPr>
        <w:pStyle w:val="Heading3"/>
      </w:pPr>
      <w:bookmarkStart w:id="124" w:name="_Toc135655572"/>
      <w:r w:rsidRPr="00F67556">
        <w:t>ACTFL PROFICIENCY STANDARDS: WRITING</w:t>
      </w:r>
      <w:bookmarkEnd w:id="124"/>
    </w:p>
    <w:p w14:paraId="5A9A3CDA" w14:textId="77777777" w:rsidR="00A72CD6" w:rsidRDefault="00A72CD6" w:rsidP="00A72CD6">
      <w:pPr>
        <w:jc w:val="both"/>
        <w:rPr>
          <w:b/>
          <w:bCs/>
          <w:sz w:val="22"/>
          <w:szCs w:val="22"/>
        </w:rPr>
      </w:pPr>
    </w:p>
    <w:p w14:paraId="6A1D6FC1" w14:textId="77777777" w:rsidR="00A72CD6" w:rsidRPr="00A812CD" w:rsidRDefault="00A72CD6" w:rsidP="00A72CD6">
      <w:pPr>
        <w:jc w:val="both"/>
        <w:rPr>
          <w:sz w:val="22"/>
          <w:szCs w:val="22"/>
        </w:rPr>
      </w:pPr>
      <w:r w:rsidRPr="00A812CD">
        <w:rPr>
          <w:b/>
          <w:bCs/>
          <w:sz w:val="22"/>
          <w:szCs w:val="22"/>
        </w:rPr>
        <w:t>Intermediate-Low</w:t>
      </w:r>
      <w:r w:rsidRPr="00A812CD">
        <w:rPr>
          <w:sz w:val="22"/>
          <w:szCs w:val="22"/>
        </w:rPr>
        <w:t xml:space="preserve"> </w:t>
      </w:r>
    </w:p>
    <w:p w14:paraId="065522EC" w14:textId="77777777" w:rsidR="00A72CD6" w:rsidRPr="00A812CD" w:rsidRDefault="00A72CD6" w:rsidP="00A72CD6">
      <w:pPr>
        <w:jc w:val="both"/>
        <w:rPr>
          <w:bCs/>
          <w:sz w:val="22"/>
          <w:szCs w:val="22"/>
        </w:rPr>
      </w:pPr>
      <w:r w:rsidRPr="00A812CD">
        <w:rPr>
          <w:bCs/>
          <w:sz w:val="22"/>
          <w:szCs w:val="22"/>
        </w:rPr>
        <w:t>Able to write short messages, postcards, and simple notes.  Can create statements or questions within the scope of limited language experience.  Writing produces consists of simple sentences on very familiar topics.</w:t>
      </w:r>
    </w:p>
    <w:p w14:paraId="0B29691E" w14:textId="77777777" w:rsidR="00A72CD6" w:rsidRPr="00A812CD" w:rsidRDefault="00A72CD6" w:rsidP="00A72CD6">
      <w:pPr>
        <w:jc w:val="both"/>
        <w:rPr>
          <w:bCs/>
          <w:sz w:val="22"/>
          <w:szCs w:val="22"/>
        </w:rPr>
      </w:pPr>
    </w:p>
    <w:p w14:paraId="4EB24BE9" w14:textId="77777777" w:rsidR="00A72CD6" w:rsidRPr="00A812CD" w:rsidRDefault="00A72CD6" w:rsidP="00A72CD6">
      <w:pPr>
        <w:jc w:val="both"/>
        <w:rPr>
          <w:sz w:val="22"/>
          <w:szCs w:val="22"/>
        </w:rPr>
      </w:pPr>
      <w:r w:rsidRPr="00A812CD">
        <w:rPr>
          <w:b/>
          <w:bCs/>
          <w:sz w:val="22"/>
          <w:szCs w:val="22"/>
        </w:rPr>
        <w:t>Intermediate-Mid</w:t>
      </w:r>
      <w:r w:rsidRPr="00A812CD">
        <w:rPr>
          <w:sz w:val="22"/>
          <w:szCs w:val="22"/>
        </w:rPr>
        <w:t xml:space="preserve"> </w:t>
      </w:r>
    </w:p>
    <w:p w14:paraId="29170356" w14:textId="77777777" w:rsidR="00A72CD6" w:rsidRPr="00A812CD" w:rsidRDefault="00A72CD6" w:rsidP="00A72CD6">
      <w:pPr>
        <w:jc w:val="both"/>
        <w:rPr>
          <w:sz w:val="22"/>
          <w:szCs w:val="22"/>
        </w:rPr>
      </w:pPr>
      <w:r w:rsidRPr="00A812CD">
        <w:rPr>
          <w:sz w:val="22"/>
          <w:szCs w:val="22"/>
        </w:rPr>
        <w:t xml:space="preserve">Able to write for practical needs.  Content involves personal preferences, daily routine, everyday events, and other topics grounded in personal experience.  Can express present time and at least one other time </w:t>
      </w:r>
      <w:r w:rsidRPr="00A812CD">
        <w:rPr>
          <w:sz w:val="22"/>
          <w:szCs w:val="22"/>
        </w:rPr>
        <w:lastRenderedPageBreak/>
        <w:t>frame (nonpast, habitual, imperfective).  Writing tends to be a loose collection of sentences or sentence fragments on a given topic and provides little evidence of conscious organization.</w:t>
      </w:r>
    </w:p>
    <w:p w14:paraId="72E7BDF9" w14:textId="77777777" w:rsidR="00A72CD6" w:rsidRPr="00A812CD" w:rsidRDefault="00A72CD6" w:rsidP="00A72CD6">
      <w:pPr>
        <w:jc w:val="both"/>
        <w:rPr>
          <w:sz w:val="22"/>
          <w:szCs w:val="22"/>
          <w:u w:val="single"/>
        </w:rPr>
      </w:pPr>
    </w:p>
    <w:p w14:paraId="3F700174" w14:textId="77777777" w:rsidR="00A72CD6" w:rsidRPr="00A812CD" w:rsidRDefault="00A72CD6" w:rsidP="00A72CD6">
      <w:pPr>
        <w:jc w:val="both"/>
        <w:rPr>
          <w:vanish/>
          <w:sz w:val="22"/>
          <w:szCs w:val="22"/>
        </w:rPr>
      </w:pPr>
    </w:p>
    <w:p w14:paraId="46F48CB1" w14:textId="77777777" w:rsidR="00A72CD6" w:rsidRPr="00A812CD" w:rsidRDefault="00A72CD6" w:rsidP="00A72CD6">
      <w:pPr>
        <w:jc w:val="both"/>
        <w:rPr>
          <w:sz w:val="22"/>
          <w:szCs w:val="22"/>
        </w:rPr>
      </w:pPr>
      <w:r w:rsidRPr="00A812CD">
        <w:rPr>
          <w:b/>
          <w:bCs/>
          <w:sz w:val="22"/>
          <w:szCs w:val="22"/>
        </w:rPr>
        <w:t>Intermediate-High</w:t>
      </w:r>
      <w:r w:rsidRPr="00A812CD">
        <w:rPr>
          <w:sz w:val="22"/>
          <w:szCs w:val="22"/>
        </w:rPr>
        <w:t xml:space="preserve"> </w:t>
      </w:r>
    </w:p>
    <w:p w14:paraId="2EC63C11" w14:textId="77777777" w:rsidR="00A72CD6" w:rsidRPr="00A812CD" w:rsidRDefault="00A72CD6" w:rsidP="00A72CD6">
      <w:pPr>
        <w:jc w:val="both"/>
        <w:rPr>
          <w:sz w:val="22"/>
          <w:szCs w:val="22"/>
        </w:rPr>
      </w:pPr>
      <w:r w:rsidRPr="00A812CD">
        <w:rPr>
          <w:sz w:val="22"/>
          <w:szCs w:val="22"/>
        </w:rPr>
        <w:t xml:space="preserve">Able to meet most practical writing needs and limited social demands. Can take notes in some detail on familiar topics and respond in writing to personal questions. Can write simple letters, brief synopses and paraphrases, summaries of biographical data, </w:t>
      </w:r>
      <w:proofErr w:type="gramStart"/>
      <w:r w:rsidRPr="00A812CD">
        <w:rPr>
          <w:sz w:val="22"/>
          <w:szCs w:val="22"/>
        </w:rPr>
        <w:t>work</w:t>
      </w:r>
      <w:proofErr w:type="gramEnd"/>
      <w:r w:rsidRPr="00A812CD">
        <w:rPr>
          <w:sz w:val="22"/>
          <w:szCs w:val="22"/>
        </w:rPr>
        <w:t xml:space="preserve"> and school experience. Can express time, tense, or aspect rather consistently, but not always accurately.  An ability to describe and narrate in paragraphs is emerging. </w:t>
      </w:r>
    </w:p>
    <w:p w14:paraId="05FB22E2" w14:textId="77777777" w:rsidR="00A72CD6" w:rsidRPr="00A812CD" w:rsidRDefault="00A72CD6" w:rsidP="00A72CD6">
      <w:pPr>
        <w:jc w:val="both"/>
        <w:rPr>
          <w:b/>
          <w:bCs/>
          <w:sz w:val="22"/>
          <w:szCs w:val="22"/>
        </w:rPr>
      </w:pPr>
    </w:p>
    <w:p w14:paraId="0E75EF41" w14:textId="77777777" w:rsidR="00A72CD6" w:rsidRPr="00A812CD" w:rsidRDefault="00A72CD6" w:rsidP="00A72CD6">
      <w:pPr>
        <w:jc w:val="both"/>
        <w:rPr>
          <w:sz w:val="22"/>
          <w:szCs w:val="22"/>
        </w:rPr>
      </w:pPr>
      <w:r w:rsidRPr="00A812CD">
        <w:rPr>
          <w:b/>
          <w:bCs/>
          <w:sz w:val="22"/>
          <w:szCs w:val="22"/>
        </w:rPr>
        <w:t>Advanced</w:t>
      </w:r>
      <w:r w:rsidRPr="00A812CD">
        <w:rPr>
          <w:sz w:val="22"/>
          <w:szCs w:val="22"/>
        </w:rPr>
        <w:t xml:space="preserve"> </w:t>
      </w:r>
    </w:p>
    <w:p w14:paraId="5D683819" w14:textId="77777777" w:rsidR="00A72CD6" w:rsidRPr="00A812CD" w:rsidRDefault="00A72CD6" w:rsidP="00A72CD6">
      <w:pPr>
        <w:jc w:val="both"/>
        <w:rPr>
          <w:sz w:val="22"/>
          <w:szCs w:val="22"/>
        </w:rPr>
      </w:pPr>
      <w:r w:rsidRPr="00A812CD">
        <w:rPr>
          <w:sz w:val="22"/>
          <w:szCs w:val="22"/>
        </w:rPr>
        <w:t>Able to write routine social correspondence and join sentences in simple discourse of at least several paragraphs in length on familiar topics. Can write simple social correspondence, take notes, write cohesive summaries and resumes, as well as narratives and descriptions of a factual nature.  May still make errors in punctuation, spelling, or the formation of nonalphabetic symbols.  Makes frequent errors in producing complex sentences.  Uses a limited number of cohesive devices accurately.  Writing may resemble literal translation from the native language, but a sense of organization is emerging.</w:t>
      </w:r>
    </w:p>
    <w:p w14:paraId="023D0CB9" w14:textId="77777777" w:rsidR="00A72CD6" w:rsidRPr="00A812CD" w:rsidRDefault="00A72CD6" w:rsidP="00A72CD6">
      <w:pPr>
        <w:jc w:val="both"/>
        <w:rPr>
          <w:sz w:val="22"/>
          <w:szCs w:val="22"/>
        </w:rPr>
      </w:pPr>
    </w:p>
    <w:p w14:paraId="7B1DCF6C" w14:textId="77777777" w:rsidR="00A72CD6" w:rsidRPr="00A812CD" w:rsidRDefault="00A72CD6" w:rsidP="00A72CD6">
      <w:pPr>
        <w:jc w:val="both"/>
        <w:rPr>
          <w:sz w:val="22"/>
          <w:szCs w:val="22"/>
        </w:rPr>
      </w:pPr>
      <w:r w:rsidRPr="00A812CD">
        <w:rPr>
          <w:b/>
          <w:bCs/>
          <w:sz w:val="22"/>
          <w:szCs w:val="22"/>
        </w:rPr>
        <w:t>Advanced Plus</w:t>
      </w:r>
      <w:r w:rsidRPr="00A812CD">
        <w:rPr>
          <w:sz w:val="22"/>
          <w:szCs w:val="22"/>
        </w:rPr>
        <w:t xml:space="preserve"> </w:t>
      </w:r>
    </w:p>
    <w:p w14:paraId="41AB679C" w14:textId="77777777" w:rsidR="00A72CD6" w:rsidRPr="00A812CD" w:rsidRDefault="00A72CD6" w:rsidP="00A72CD6">
      <w:pPr>
        <w:jc w:val="both"/>
        <w:rPr>
          <w:sz w:val="22"/>
          <w:szCs w:val="22"/>
        </w:rPr>
      </w:pPr>
      <w:r w:rsidRPr="00A812CD">
        <w:rPr>
          <w:sz w:val="22"/>
          <w:szCs w:val="22"/>
        </w:rPr>
        <w:t xml:space="preserve">Able to write about a variety of topics with significant precision and in detail. Can write most social and informal business correspondence. Can describe and narrate personal experiences fully but has difficulty supporting points of view in written discourse. Can write about the concrete aspects of topics relating to </w:t>
      </w:r>
      <w:proofErr w:type="gramStart"/>
      <w:r w:rsidRPr="00A812CD">
        <w:rPr>
          <w:sz w:val="22"/>
          <w:szCs w:val="22"/>
        </w:rPr>
        <w:t>particular interests</w:t>
      </w:r>
      <w:proofErr w:type="gramEnd"/>
      <w:r w:rsidRPr="00A812CD">
        <w:rPr>
          <w:sz w:val="22"/>
          <w:szCs w:val="22"/>
        </w:rPr>
        <w:t xml:space="preserve"> and special fields of competence. Often shows remarkable fluency and ease of expression, but under time constraints and pressure writing may be inaccurate. Generally strong in either grammar or vocabulary, but not in both. Weakness and unevenness in one of the foregoing or in spelling or character writing formation may result in occasional miscommunication. Some misuse of vocabulary may still be evident. Style may still be obviously foreign.</w:t>
      </w:r>
    </w:p>
    <w:p w14:paraId="67B2A283" w14:textId="77777777" w:rsidR="00A72CD6" w:rsidRPr="00A812CD" w:rsidRDefault="00A72CD6" w:rsidP="00A72CD6">
      <w:pPr>
        <w:jc w:val="both"/>
        <w:rPr>
          <w:sz w:val="22"/>
          <w:szCs w:val="22"/>
        </w:rPr>
      </w:pPr>
    </w:p>
    <w:p w14:paraId="4B11696F" w14:textId="77777777" w:rsidR="00A72CD6" w:rsidRPr="00A812CD" w:rsidRDefault="00A72CD6" w:rsidP="00A72CD6">
      <w:pPr>
        <w:jc w:val="both"/>
        <w:rPr>
          <w:sz w:val="22"/>
          <w:szCs w:val="22"/>
        </w:rPr>
      </w:pPr>
      <w:r w:rsidRPr="00A812CD">
        <w:rPr>
          <w:b/>
          <w:sz w:val="22"/>
          <w:szCs w:val="22"/>
        </w:rPr>
        <w:t>Superior</w:t>
      </w:r>
    </w:p>
    <w:p w14:paraId="7606AC1A" w14:textId="77777777" w:rsidR="00A72CD6" w:rsidRPr="00A812CD" w:rsidRDefault="00A72CD6" w:rsidP="00A72CD6">
      <w:pPr>
        <w:jc w:val="both"/>
        <w:rPr>
          <w:sz w:val="22"/>
          <w:szCs w:val="22"/>
        </w:rPr>
      </w:pPr>
      <w:r w:rsidRPr="00A812CD">
        <w:rPr>
          <w:sz w:val="22"/>
          <w:szCs w:val="22"/>
        </w:rPr>
        <w:t>Able to write clearly in most formal and informal writing. Good control of a full range of structures, spelling or nonalphabetic symbol production, and a wide general vocabulary allow the writer to hypothesize and present arguments or points of view accurately and effectively.  An underlying organization, such as chronological ordering, logical ordering, cause and effect, comparison, and thematic development is strongly evident, although not thoroughly executed.</w:t>
      </w:r>
    </w:p>
    <w:p w14:paraId="7905470B" w14:textId="77777777" w:rsidR="00A72CD6" w:rsidRDefault="00A72CD6" w:rsidP="00A72CD6"/>
    <w:p w14:paraId="5A837CE3" w14:textId="77777777" w:rsidR="00A72CD6" w:rsidRDefault="00A72CD6" w:rsidP="00A72CD6">
      <w:pPr>
        <w:pStyle w:val="BodyText"/>
        <w:outlineLvl w:val="0"/>
        <w:sectPr w:rsidR="00A72CD6" w:rsidSect="00A72CD6">
          <w:pgSz w:w="12240" w:h="15840"/>
          <w:pgMar w:top="1440" w:right="1440" w:bottom="1440" w:left="1440" w:header="720" w:footer="720" w:gutter="0"/>
          <w:cols w:space="720"/>
          <w:docGrid w:linePitch="360"/>
        </w:sectPr>
      </w:pPr>
    </w:p>
    <w:p w14:paraId="015AEF1A" w14:textId="77777777" w:rsidR="0006180A" w:rsidRPr="00251A71" w:rsidRDefault="00A72CD6" w:rsidP="0082302B">
      <w:pPr>
        <w:pStyle w:val="Heading2"/>
      </w:pPr>
      <w:bookmarkStart w:id="125" w:name="Appendix_D"/>
      <w:bookmarkStart w:id="126" w:name="_Toc337553992"/>
      <w:bookmarkStart w:id="127" w:name="_Toc135655573"/>
      <w:r w:rsidRPr="00251A71">
        <w:lastRenderedPageBreak/>
        <w:t>A</w:t>
      </w:r>
      <w:r w:rsidR="006A536C" w:rsidRPr="00251A71">
        <w:t>ppendix</w:t>
      </w:r>
      <w:r w:rsidRPr="00251A71">
        <w:t xml:space="preserve"> </w:t>
      </w:r>
      <w:r w:rsidR="001E3416" w:rsidRPr="00251A71">
        <w:t>D</w:t>
      </w:r>
      <w:bookmarkEnd w:id="125"/>
      <w:r w:rsidR="00251A71">
        <w:t xml:space="preserve">: </w:t>
      </w:r>
      <w:r w:rsidRPr="00251A71">
        <w:t>Sample Matrix to guide Bilingual Authorization Routes</w:t>
      </w:r>
      <w:bookmarkEnd w:id="126"/>
      <w:bookmarkEnd w:id="127"/>
    </w:p>
    <w:p w14:paraId="18937BBC" w14:textId="77777777" w:rsidR="00A72CD6" w:rsidRPr="00251A71" w:rsidRDefault="00A72CD6" w:rsidP="00251A71">
      <w:pPr>
        <w:pStyle w:val="Style1"/>
      </w:pPr>
      <w:bookmarkStart w:id="128" w:name="_Toc337553993"/>
      <w:r w:rsidRPr="00251A71">
        <w:t>CSET:</w:t>
      </w:r>
      <w:r w:rsidR="004A5EB2" w:rsidRPr="00251A71">
        <w:t xml:space="preserve"> </w:t>
      </w:r>
      <w:r w:rsidRPr="00251A71">
        <w:t>LOTE Examination Subtest Domains and Program Coursework</w:t>
      </w:r>
      <w:bookmarkEnd w:id="128"/>
      <w:r w:rsidRPr="00251A71">
        <w:t xml:space="preserve"> </w:t>
      </w:r>
    </w:p>
    <w:p w14:paraId="6CFE931E" w14:textId="77777777" w:rsidR="00A72CD6" w:rsidRDefault="00A72CD6" w:rsidP="00A72CD6">
      <w:pPr>
        <w:ind w:left="960" w:hanging="960"/>
        <w:jc w:val="center"/>
      </w:pPr>
      <w:hyperlink r:id="rId39" w:history="1">
        <w:r w:rsidRPr="00F35BF6">
          <w:rPr>
            <w:rStyle w:val="Hyperlink"/>
          </w:rPr>
          <w:t>http://www.cset.nesinc.com/CS</w:t>
        </w:r>
        <w:r w:rsidRPr="00F35BF6">
          <w:rPr>
            <w:rStyle w:val="Hyperlink"/>
          </w:rPr>
          <w:t>_</w:t>
        </w:r>
        <w:r w:rsidRPr="00F35BF6">
          <w:rPr>
            <w:rStyle w:val="Hyperlink"/>
          </w:rPr>
          <w:t>SMR_opener.asp</w:t>
        </w:r>
      </w:hyperlink>
    </w:p>
    <w:p w14:paraId="7D5ED799" w14:textId="77777777" w:rsidR="00A72CD6" w:rsidRDefault="00A72CD6" w:rsidP="00A72CD6"/>
    <w:tbl>
      <w:tblPr>
        <w:tblW w:w="1114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92"/>
        <w:gridCol w:w="5153"/>
        <w:gridCol w:w="1783"/>
      </w:tblGrid>
      <w:tr w:rsidR="00A72CD6" w14:paraId="6C2F3C90" w14:textId="77777777" w:rsidTr="009F1F9A">
        <w:tc>
          <w:tcPr>
            <w:tcW w:w="1620" w:type="dxa"/>
          </w:tcPr>
          <w:p w14:paraId="3A820E2E" w14:textId="77777777" w:rsidR="00A72CD6" w:rsidRPr="009F1F9A" w:rsidRDefault="00A72CD6" w:rsidP="009F1F9A">
            <w:pPr>
              <w:jc w:val="center"/>
              <w:rPr>
                <w:rFonts w:ascii="Verdana" w:hAnsi="Verdana"/>
                <w:b/>
                <w:sz w:val="22"/>
                <w:szCs w:val="22"/>
              </w:rPr>
            </w:pPr>
            <w:r w:rsidRPr="009F1F9A">
              <w:rPr>
                <w:rFonts w:ascii="Verdana" w:hAnsi="Verdana"/>
                <w:b/>
                <w:sz w:val="22"/>
                <w:szCs w:val="22"/>
              </w:rPr>
              <w:t>Subtest</w:t>
            </w:r>
          </w:p>
        </w:tc>
        <w:tc>
          <w:tcPr>
            <w:tcW w:w="2592" w:type="dxa"/>
          </w:tcPr>
          <w:p w14:paraId="2A66CF75" w14:textId="77777777" w:rsidR="00A72CD6" w:rsidRPr="009F1F9A" w:rsidRDefault="00A72CD6" w:rsidP="009F1F9A">
            <w:pPr>
              <w:jc w:val="center"/>
              <w:rPr>
                <w:rFonts w:ascii="Verdana" w:hAnsi="Verdana"/>
                <w:b/>
                <w:sz w:val="22"/>
                <w:szCs w:val="22"/>
              </w:rPr>
            </w:pPr>
            <w:r w:rsidRPr="009F1F9A">
              <w:rPr>
                <w:rFonts w:ascii="Verdana" w:hAnsi="Verdana"/>
                <w:b/>
                <w:sz w:val="22"/>
                <w:szCs w:val="22"/>
              </w:rPr>
              <w:t>Domain</w:t>
            </w:r>
          </w:p>
        </w:tc>
        <w:tc>
          <w:tcPr>
            <w:tcW w:w="5153" w:type="dxa"/>
          </w:tcPr>
          <w:p w14:paraId="45317FB0" w14:textId="77777777" w:rsidR="00A72CD6" w:rsidRPr="009F1F9A" w:rsidRDefault="00A72CD6" w:rsidP="009F1F9A">
            <w:pPr>
              <w:jc w:val="center"/>
              <w:rPr>
                <w:rFonts w:ascii="Verdana" w:hAnsi="Verdana"/>
                <w:b/>
                <w:sz w:val="22"/>
                <w:szCs w:val="22"/>
              </w:rPr>
            </w:pPr>
            <w:r w:rsidRPr="009F1F9A">
              <w:rPr>
                <w:rFonts w:ascii="Verdana" w:hAnsi="Verdana"/>
                <w:b/>
                <w:sz w:val="22"/>
                <w:szCs w:val="22"/>
              </w:rPr>
              <w:t xml:space="preserve">Knowledge, </w:t>
            </w:r>
            <w:proofErr w:type="gramStart"/>
            <w:r w:rsidRPr="009F1F9A">
              <w:rPr>
                <w:rFonts w:ascii="Verdana" w:hAnsi="Verdana"/>
                <w:b/>
                <w:sz w:val="22"/>
                <w:szCs w:val="22"/>
              </w:rPr>
              <w:t>Skills</w:t>
            </w:r>
            <w:proofErr w:type="gramEnd"/>
            <w:r w:rsidRPr="009F1F9A">
              <w:rPr>
                <w:rFonts w:ascii="Verdana" w:hAnsi="Verdana"/>
                <w:b/>
                <w:sz w:val="22"/>
                <w:szCs w:val="22"/>
              </w:rPr>
              <w:t xml:space="preserve"> and Abilities</w:t>
            </w:r>
          </w:p>
        </w:tc>
        <w:tc>
          <w:tcPr>
            <w:tcW w:w="1783" w:type="dxa"/>
          </w:tcPr>
          <w:p w14:paraId="16FC6805" w14:textId="77777777" w:rsidR="00A72CD6" w:rsidRPr="009F1F9A" w:rsidRDefault="00A72CD6" w:rsidP="009F1F9A">
            <w:pPr>
              <w:jc w:val="center"/>
              <w:rPr>
                <w:rFonts w:ascii="Verdana" w:hAnsi="Verdana"/>
                <w:b/>
                <w:sz w:val="22"/>
                <w:szCs w:val="22"/>
              </w:rPr>
            </w:pPr>
            <w:r w:rsidRPr="009F1F9A">
              <w:rPr>
                <w:rFonts w:ascii="Verdana" w:hAnsi="Verdana"/>
                <w:b/>
                <w:sz w:val="22"/>
                <w:szCs w:val="22"/>
              </w:rPr>
              <w:t>Course(s)</w:t>
            </w:r>
          </w:p>
        </w:tc>
      </w:tr>
      <w:tr w:rsidR="00A72CD6" w14:paraId="1D3A994F" w14:textId="77777777" w:rsidTr="009F1F9A">
        <w:trPr>
          <w:cantSplit/>
          <w:trHeight w:val="494"/>
        </w:trPr>
        <w:tc>
          <w:tcPr>
            <w:tcW w:w="1620" w:type="dxa"/>
            <w:vMerge w:val="restart"/>
            <w:textDirection w:val="btLr"/>
          </w:tcPr>
          <w:p w14:paraId="6B335BB8" w14:textId="77777777" w:rsidR="00A72CD6" w:rsidRPr="009F1F9A" w:rsidRDefault="00A72CD6" w:rsidP="009F1F9A">
            <w:pPr>
              <w:ind w:left="113" w:right="113"/>
              <w:jc w:val="center"/>
              <w:rPr>
                <w:rFonts w:ascii="Verdana" w:hAnsi="Verdana"/>
                <w:b/>
                <w:sz w:val="20"/>
                <w:szCs w:val="20"/>
              </w:rPr>
            </w:pPr>
            <w:r w:rsidRPr="009F1F9A">
              <w:rPr>
                <w:rFonts w:ascii="Verdana" w:hAnsi="Verdana"/>
                <w:b/>
                <w:sz w:val="20"/>
                <w:szCs w:val="20"/>
              </w:rPr>
              <w:t>Subtest II or III: Assessment of Language and Communication Skills</w:t>
            </w:r>
          </w:p>
          <w:p w14:paraId="2C5281FA" w14:textId="77777777" w:rsidR="00A72CD6" w:rsidRPr="009F1F9A" w:rsidRDefault="00A72CD6" w:rsidP="009F1F9A">
            <w:pPr>
              <w:ind w:left="113" w:right="113"/>
              <w:jc w:val="center"/>
              <w:rPr>
                <w:rFonts w:ascii="Verdana" w:hAnsi="Verdana"/>
                <w:b/>
                <w:sz w:val="20"/>
                <w:szCs w:val="20"/>
              </w:rPr>
            </w:pPr>
            <w:r w:rsidRPr="009F1F9A">
              <w:rPr>
                <w:rFonts w:ascii="Verdana" w:hAnsi="Verdana"/>
                <w:b/>
                <w:sz w:val="20"/>
                <w:szCs w:val="20"/>
              </w:rPr>
              <w:t>Domains 5,6,7 &amp; 8</w:t>
            </w:r>
          </w:p>
          <w:p w14:paraId="74512F74" w14:textId="77777777" w:rsidR="00A72CD6" w:rsidRPr="009F1F9A" w:rsidRDefault="00A72CD6" w:rsidP="009F1F9A">
            <w:pPr>
              <w:ind w:left="113" w:right="113"/>
              <w:jc w:val="center"/>
              <w:rPr>
                <w:rFonts w:ascii="Verdana" w:hAnsi="Verdana"/>
                <w:b/>
                <w:sz w:val="20"/>
                <w:szCs w:val="20"/>
              </w:rPr>
            </w:pPr>
            <w:r w:rsidRPr="009F1F9A">
              <w:rPr>
                <w:rFonts w:ascii="Verdana" w:hAnsi="Verdana"/>
                <w:sz w:val="20"/>
                <w:szCs w:val="20"/>
              </w:rPr>
              <w:t>(Subtest choice depends on the</w:t>
            </w:r>
            <w:r w:rsidRPr="009F1F9A">
              <w:rPr>
                <w:rFonts w:ascii="Verdana" w:hAnsi="Verdana"/>
                <w:b/>
                <w:sz w:val="20"/>
                <w:szCs w:val="20"/>
              </w:rPr>
              <w:t xml:space="preserve"> </w:t>
            </w:r>
            <w:r w:rsidRPr="009F1F9A">
              <w:rPr>
                <w:rFonts w:ascii="Verdana" w:hAnsi="Verdana"/>
                <w:sz w:val="20"/>
                <w:szCs w:val="20"/>
              </w:rPr>
              <w:t>language)</w:t>
            </w:r>
          </w:p>
        </w:tc>
        <w:tc>
          <w:tcPr>
            <w:tcW w:w="2592" w:type="dxa"/>
            <w:vMerge w:val="restart"/>
          </w:tcPr>
          <w:p w14:paraId="69967AF6"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5. Language and Communication: Listening Comprehension</w:t>
            </w:r>
          </w:p>
        </w:tc>
        <w:tc>
          <w:tcPr>
            <w:tcW w:w="5153" w:type="dxa"/>
          </w:tcPr>
          <w:p w14:paraId="4CF81917"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5.1 Literal Comprehension of Spoken Communication</w:t>
            </w:r>
          </w:p>
        </w:tc>
        <w:tc>
          <w:tcPr>
            <w:tcW w:w="1783" w:type="dxa"/>
          </w:tcPr>
          <w:p w14:paraId="64E76C82" w14:textId="77777777" w:rsidR="00A72CD6" w:rsidRPr="009F1F9A" w:rsidRDefault="00A72CD6" w:rsidP="00A72CD6">
            <w:pPr>
              <w:rPr>
                <w:rFonts w:ascii="Verdana" w:hAnsi="Verdana"/>
                <w:sz w:val="20"/>
                <w:szCs w:val="20"/>
              </w:rPr>
            </w:pPr>
          </w:p>
        </w:tc>
      </w:tr>
      <w:tr w:rsidR="00A72CD6" w14:paraId="63E4C749" w14:textId="77777777" w:rsidTr="009F1F9A">
        <w:trPr>
          <w:cantSplit/>
          <w:trHeight w:val="530"/>
        </w:trPr>
        <w:tc>
          <w:tcPr>
            <w:tcW w:w="1620" w:type="dxa"/>
            <w:vMerge/>
            <w:textDirection w:val="btLr"/>
          </w:tcPr>
          <w:p w14:paraId="6C183C9F" w14:textId="77777777" w:rsidR="00A72CD6" w:rsidRPr="009F1F9A" w:rsidRDefault="00A72CD6" w:rsidP="009F1F9A">
            <w:pPr>
              <w:ind w:left="113" w:right="113"/>
              <w:jc w:val="center"/>
              <w:rPr>
                <w:rFonts w:ascii="Verdana" w:hAnsi="Verdana"/>
                <w:b/>
                <w:sz w:val="20"/>
                <w:szCs w:val="20"/>
              </w:rPr>
            </w:pPr>
          </w:p>
        </w:tc>
        <w:tc>
          <w:tcPr>
            <w:tcW w:w="2592" w:type="dxa"/>
            <w:vMerge/>
          </w:tcPr>
          <w:p w14:paraId="78DA8031" w14:textId="77777777" w:rsidR="00A72CD6" w:rsidRPr="009F1F9A" w:rsidRDefault="00A72CD6" w:rsidP="00A72CD6">
            <w:pPr>
              <w:rPr>
                <w:rFonts w:ascii="Verdana" w:hAnsi="Verdana" w:cs="TimesNewRoman,Bold"/>
                <w:bCs/>
                <w:sz w:val="20"/>
                <w:szCs w:val="20"/>
              </w:rPr>
            </w:pPr>
          </w:p>
        </w:tc>
        <w:tc>
          <w:tcPr>
            <w:tcW w:w="5153" w:type="dxa"/>
          </w:tcPr>
          <w:p w14:paraId="7174CF4F"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5.2 Inferential and Interpretive Comprehension of Spoken Communication</w:t>
            </w:r>
          </w:p>
        </w:tc>
        <w:tc>
          <w:tcPr>
            <w:tcW w:w="1783" w:type="dxa"/>
          </w:tcPr>
          <w:p w14:paraId="2941FF1D" w14:textId="77777777" w:rsidR="00A72CD6" w:rsidRPr="009F1F9A" w:rsidRDefault="00A72CD6" w:rsidP="00A72CD6">
            <w:pPr>
              <w:rPr>
                <w:rFonts w:ascii="Verdana" w:hAnsi="Verdana"/>
                <w:sz w:val="20"/>
                <w:szCs w:val="20"/>
              </w:rPr>
            </w:pPr>
          </w:p>
        </w:tc>
      </w:tr>
      <w:tr w:rsidR="00A72CD6" w14:paraId="210EDC79" w14:textId="77777777" w:rsidTr="009F1F9A">
        <w:trPr>
          <w:cantSplit/>
          <w:trHeight w:val="332"/>
        </w:trPr>
        <w:tc>
          <w:tcPr>
            <w:tcW w:w="1620" w:type="dxa"/>
            <w:vMerge/>
            <w:textDirection w:val="btLr"/>
          </w:tcPr>
          <w:p w14:paraId="5ABE2DDC" w14:textId="77777777" w:rsidR="00A72CD6" w:rsidRPr="009F1F9A" w:rsidRDefault="00A72CD6" w:rsidP="009F1F9A">
            <w:pPr>
              <w:ind w:left="113" w:right="113"/>
              <w:jc w:val="center"/>
              <w:rPr>
                <w:rFonts w:ascii="Verdana" w:hAnsi="Verdana"/>
                <w:b/>
                <w:sz w:val="20"/>
                <w:szCs w:val="20"/>
              </w:rPr>
            </w:pPr>
          </w:p>
        </w:tc>
        <w:tc>
          <w:tcPr>
            <w:tcW w:w="2592" w:type="dxa"/>
            <w:vMerge/>
          </w:tcPr>
          <w:p w14:paraId="4CF231CE" w14:textId="77777777" w:rsidR="00A72CD6" w:rsidRPr="009F1F9A" w:rsidRDefault="00A72CD6" w:rsidP="00A72CD6">
            <w:pPr>
              <w:rPr>
                <w:rFonts w:ascii="Verdana" w:hAnsi="Verdana" w:cs="TimesNewRoman,Bold"/>
                <w:bCs/>
                <w:sz w:val="20"/>
                <w:szCs w:val="20"/>
              </w:rPr>
            </w:pPr>
          </w:p>
        </w:tc>
        <w:tc>
          <w:tcPr>
            <w:tcW w:w="5153" w:type="dxa"/>
          </w:tcPr>
          <w:p w14:paraId="026D805C"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5.3 Critical Analysis of Spoken Communication</w:t>
            </w:r>
          </w:p>
        </w:tc>
        <w:tc>
          <w:tcPr>
            <w:tcW w:w="1783" w:type="dxa"/>
          </w:tcPr>
          <w:p w14:paraId="3DE1F8B4" w14:textId="77777777" w:rsidR="00A72CD6" w:rsidRPr="009F1F9A" w:rsidRDefault="00A72CD6" w:rsidP="00A72CD6">
            <w:pPr>
              <w:rPr>
                <w:rFonts w:ascii="Verdana" w:hAnsi="Verdana"/>
                <w:sz w:val="20"/>
                <w:szCs w:val="20"/>
              </w:rPr>
            </w:pPr>
          </w:p>
        </w:tc>
      </w:tr>
      <w:tr w:rsidR="00A72CD6" w14:paraId="0635D86B" w14:textId="77777777" w:rsidTr="009F1F9A">
        <w:trPr>
          <w:cantSplit/>
          <w:trHeight w:val="350"/>
        </w:trPr>
        <w:tc>
          <w:tcPr>
            <w:tcW w:w="1620" w:type="dxa"/>
            <w:vMerge/>
            <w:textDirection w:val="btLr"/>
          </w:tcPr>
          <w:p w14:paraId="522CD896" w14:textId="77777777" w:rsidR="00A72CD6" w:rsidRPr="009F1F9A" w:rsidRDefault="00A72CD6" w:rsidP="009F1F9A">
            <w:pPr>
              <w:ind w:left="113" w:right="113"/>
              <w:jc w:val="center"/>
              <w:rPr>
                <w:rFonts w:ascii="Verdana" w:hAnsi="Verdana"/>
                <w:b/>
                <w:sz w:val="20"/>
                <w:szCs w:val="20"/>
              </w:rPr>
            </w:pPr>
          </w:p>
        </w:tc>
        <w:tc>
          <w:tcPr>
            <w:tcW w:w="2592" w:type="dxa"/>
            <w:vMerge w:val="restart"/>
          </w:tcPr>
          <w:p w14:paraId="1D7DC909"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6. Language and Communication: Reading Comprehension</w:t>
            </w:r>
          </w:p>
        </w:tc>
        <w:tc>
          <w:tcPr>
            <w:tcW w:w="5153" w:type="dxa"/>
          </w:tcPr>
          <w:p w14:paraId="7D96303D"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6.1 Literal Comprehension of Written Texts</w:t>
            </w:r>
          </w:p>
        </w:tc>
        <w:tc>
          <w:tcPr>
            <w:tcW w:w="1783" w:type="dxa"/>
          </w:tcPr>
          <w:p w14:paraId="05C5896D" w14:textId="77777777" w:rsidR="00A72CD6" w:rsidRPr="009F1F9A" w:rsidRDefault="00A72CD6" w:rsidP="00A72CD6">
            <w:pPr>
              <w:rPr>
                <w:rFonts w:ascii="Verdana" w:hAnsi="Verdana"/>
                <w:sz w:val="20"/>
                <w:szCs w:val="20"/>
              </w:rPr>
            </w:pPr>
          </w:p>
        </w:tc>
      </w:tr>
      <w:tr w:rsidR="00A72CD6" w14:paraId="0B8BD010" w14:textId="77777777" w:rsidTr="009F1F9A">
        <w:trPr>
          <w:cantSplit/>
          <w:trHeight w:val="530"/>
        </w:trPr>
        <w:tc>
          <w:tcPr>
            <w:tcW w:w="1620" w:type="dxa"/>
            <w:vMerge/>
            <w:textDirection w:val="btLr"/>
          </w:tcPr>
          <w:p w14:paraId="5ABC2EBA" w14:textId="77777777" w:rsidR="00A72CD6" w:rsidRPr="009F1F9A" w:rsidRDefault="00A72CD6" w:rsidP="009F1F9A">
            <w:pPr>
              <w:ind w:left="113" w:right="113"/>
              <w:jc w:val="center"/>
              <w:rPr>
                <w:rFonts w:ascii="Verdana" w:hAnsi="Verdana"/>
                <w:b/>
                <w:sz w:val="20"/>
                <w:szCs w:val="20"/>
              </w:rPr>
            </w:pPr>
          </w:p>
        </w:tc>
        <w:tc>
          <w:tcPr>
            <w:tcW w:w="2592" w:type="dxa"/>
            <w:vMerge/>
          </w:tcPr>
          <w:p w14:paraId="005975B5" w14:textId="77777777" w:rsidR="00A72CD6" w:rsidRPr="009F1F9A" w:rsidRDefault="00A72CD6" w:rsidP="00A72CD6">
            <w:pPr>
              <w:rPr>
                <w:rFonts w:ascii="Verdana" w:hAnsi="Verdana" w:cs="TimesNewRoman,Bold"/>
                <w:bCs/>
                <w:sz w:val="20"/>
                <w:szCs w:val="20"/>
              </w:rPr>
            </w:pPr>
          </w:p>
        </w:tc>
        <w:tc>
          <w:tcPr>
            <w:tcW w:w="5153" w:type="dxa"/>
          </w:tcPr>
          <w:p w14:paraId="030555F5"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6.2 Inferential and Interpretive Comprehension of Written Texts</w:t>
            </w:r>
          </w:p>
        </w:tc>
        <w:tc>
          <w:tcPr>
            <w:tcW w:w="1783" w:type="dxa"/>
          </w:tcPr>
          <w:p w14:paraId="7EBF4A21" w14:textId="77777777" w:rsidR="00A72CD6" w:rsidRPr="009F1F9A" w:rsidRDefault="00A72CD6" w:rsidP="00A72CD6">
            <w:pPr>
              <w:rPr>
                <w:rFonts w:ascii="Verdana" w:hAnsi="Verdana"/>
                <w:sz w:val="20"/>
                <w:szCs w:val="20"/>
              </w:rPr>
            </w:pPr>
          </w:p>
        </w:tc>
      </w:tr>
      <w:tr w:rsidR="00A72CD6" w14:paraId="222E7AA0" w14:textId="77777777" w:rsidTr="009F1F9A">
        <w:trPr>
          <w:cantSplit/>
          <w:trHeight w:val="323"/>
        </w:trPr>
        <w:tc>
          <w:tcPr>
            <w:tcW w:w="1620" w:type="dxa"/>
            <w:vMerge/>
            <w:textDirection w:val="btLr"/>
          </w:tcPr>
          <w:p w14:paraId="0DB9A1A6" w14:textId="77777777" w:rsidR="00A72CD6" w:rsidRPr="009F1F9A" w:rsidRDefault="00A72CD6" w:rsidP="009F1F9A">
            <w:pPr>
              <w:ind w:left="113" w:right="113"/>
              <w:jc w:val="center"/>
              <w:rPr>
                <w:rFonts w:ascii="Verdana" w:hAnsi="Verdana"/>
                <w:b/>
                <w:sz w:val="20"/>
                <w:szCs w:val="20"/>
              </w:rPr>
            </w:pPr>
          </w:p>
        </w:tc>
        <w:tc>
          <w:tcPr>
            <w:tcW w:w="2592" w:type="dxa"/>
            <w:vMerge/>
          </w:tcPr>
          <w:p w14:paraId="257B1ABF" w14:textId="77777777" w:rsidR="00A72CD6" w:rsidRPr="009F1F9A" w:rsidRDefault="00A72CD6" w:rsidP="00A72CD6">
            <w:pPr>
              <w:rPr>
                <w:rFonts w:ascii="Verdana" w:hAnsi="Verdana" w:cs="TimesNewRoman,Bold"/>
                <w:bCs/>
                <w:sz w:val="20"/>
                <w:szCs w:val="20"/>
              </w:rPr>
            </w:pPr>
          </w:p>
        </w:tc>
        <w:tc>
          <w:tcPr>
            <w:tcW w:w="5153" w:type="dxa"/>
          </w:tcPr>
          <w:p w14:paraId="7EBDE920"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6.3 Critical Analysis of Written Texts</w:t>
            </w:r>
          </w:p>
        </w:tc>
        <w:tc>
          <w:tcPr>
            <w:tcW w:w="1783" w:type="dxa"/>
          </w:tcPr>
          <w:p w14:paraId="56A5655D" w14:textId="77777777" w:rsidR="00A72CD6" w:rsidRPr="009F1F9A" w:rsidRDefault="00A72CD6" w:rsidP="00A72CD6">
            <w:pPr>
              <w:rPr>
                <w:rFonts w:ascii="Verdana" w:hAnsi="Verdana"/>
                <w:sz w:val="20"/>
                <w:szCs w:val="20"/>
              </w:rPr>
            </w:pPr>
          </w:p>
        </w:tc>
      </w:tr>
      <w:tr w:rsidR="00A72CD6" w14:paraId="0B776506" w14:textId="77777777" w:rsidTr="009F1F9A">
        <w:trPr>
          <w:cantSplit/>
          <w:trHeight w:val="890"/>
        </w:trPr>
        <w:tc>
          <w:tcPr>
            <w:tcW w:w="1620" w:type="dxa"/>
            <w:vMerge/>
            <w:textDirection w:val="btLr"/>
          </w:tcPr>
          <w:p w14:paraId="6C231DCB" w14:textId="77777777" w:rsidR="00A72CD6" w:rsidRPr="009F1F9A" w:rsidRDefault="00A72CD6" w:rsidP="009F1F9A">
            <w:pPr>
              <w:ind w:left="113" w:right="113"/>
              <w:jc w:val="center"/>
              <w:rPr>
                <w:rFonts w:ascii="Verdana" w:hAnsi="Verdana"/>
                <w:b/>
                <w:sz w:val="20"/>
                <w:szCs w:val="20"/>
              </w:rPr>
            </w:pPr>
          </w:p>
        </w:tc>
        <w:tc>
          <w:tcPr>
            <w:tcW w:w="2592" w:type="dxa"/>
          </w:tcPr>
          <w:p w14:paraId="1A3AF480"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7. Language and Communication: Oral Expression</w:t>
            </w:r>
          </w:p>
        </w:tc>
        <w:tc>
          <w:tcPr>
            <w:tcW w:w="5153" w:type="dxa"/>
          </w:tcPr>
          <w:p w14:paraId="62C2A0CC"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7.1 Speaking in the Target Language for a Variety of Purposes in Authentic Contexts</w:t>
            </w:r>
          </w:p>
        </w:tc>
        <w:tc>
          <w:tcPr>
            <w:tcW w:w="1783" w:type="dxa"/>
          </w:tcPr>
          <w:p w14:paraId="5F9FAB31" w14:textId="77777777" w:rsidR="00A72CD6" w:rsidRPr="009F1F9A" w:rsidRDefault="00A72CD6" w:rsidP="00A72CD6">
            <w:pPr>
              <w:rPr>
                <w:rFonts w:ascii="Verdana" w:hAnsi="Verdana"/>
                <w:sz w:val="20"/>
                <w:szCs w:val="20"/>
              </w:rPr>
            </w:pPr>
          </w:p>
        </w:tc>
      </w:tr>
      <w:tr w:rsidR="00A72CD6" w14:paraId="68726D38" w14:textId="77777777" w:rsidTr="009F1F9A">
        <w:trPr>
          <w:cantSplit/>
          <w:trHeight w:val="1070"/>
        </w:trPr>
        <w:tc>
          <w:tcPr>
            <w:tcW w:w="1620" w:type="dxa"/>
            <w:vMerge/>
            <w:textDirection w:val="btLr"/>
          </w:tcPr>
          <w:p w14:paraId="7E6B5212" w14:textId="77777777" w:rsidR="00A72CD6" w:rsidRPr="009F1F9A" w:rsidRDefault="00A72CD6" w:rsidP="009F1F9A">
            <w:pPr>
              <w:ind w:left="113" w:right="113"/>
              <w:jc w:val="center"/>
              <w:rPr>
                <w:rFonts w:ascii="Verdana" w:hAnsi="Verdana"/>
                <w:b/>
                <w:sz w:val="20"/>
                <w:szCs w:val="20"/>
              </w:rPr>
            </w:pPr>
          </w:p>
        </w:tc>
        <w:tc>
          <w:tcPr>
            <w:tcW w:w="2592" w:type="dxa"/>
          </w:tcPr>
          <w:p w14:paraId="763873E6"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8. Language and Communication: Written Expression</w:t>
            </w:r>
          </w:p>
        </w:tc>
        <w:tc>
          <w:tcPr>
            <w:tcW w:w="5153" w:type="dxa"/>
          </w:tcPr>
          <w:p w14:paraId="6EC32607"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8.1 Writing in the Target Language for a Variety of Purposes in Authentic Contexts</w:t>
            </w:r>
          </w:p>
        </w:tc>
        <w:tc>
          <w:tcPr>
            <w:tcW w:w="1783" w:type="dxa"/>
          </w:tcPr>
          <w:p w14:paraId="4F96D4E6" w14:textId="77777777" w:rsidR="00A72CD6" w:rsidRPr="009F1F9A" w:rsidRDefault="00A72CD6" w:rsidP="00A72CD6">
            <w:pPr>
              <w:rPr>
                <w:rFonts w:ascii="Verdana" w:hAnsi="Verdana"/>
                <w:sz w:val="20"/>
                <w:szCs w:val="20"/>
              </w:rPr>
            </w:pPr>
          </w:p>
        </w:tc>
      </w:tr>
      <w:tr w:rsidR="00A72CD6" w14:paraId="5E2BF428" w14:textId="77777777" w:rsidTr="009F1F9A">
        <w:trPr>
          <w:trHeight w:val="395"/>
        </w:trPr>
        <w:tc>
          <w:tcPr>
            <w:tcW w:w="1620" w:type="dxa"/>
            <w:vMerge w:val="restart"/>
            <w:textDirection w:val="btLr"/>
          </w:tcPr>
          <w:p w14:paraId="08D4EC3E" w14:textId="77777777" w:rsidR="00A72CD6" w:rsidRPr="009F1F9A" w:rsidRDefault="00A72CD6" w:rsidP="009F1F9A">
            <w:pPr>
              <w:autoSpaceDE w:val="0"/>
              <w:autoSpaceDN w:val="0"/>
              <w:adjustRightInd w:val="0"/>
              <w:ind w:left="113" w:right="113"/>
              <w:jc w:val="center"/>
              <w:rPr>
                <w:rFonts w:ascii="Verdana" w:hAnsi="Verdana" w:cs="Arial,Bold"/>
                <w:b/>
                <w:bCs/>
                <w:sz w:val="20"/>
                <w:szCs w:val="20"/>
              </w:rPr>
            </w:pPr>
            <w:r w:rsidRPr="009F1F9A">
              <w:rPr>
                <w:rFonts w:ascii="Verdana" w:hAnsi="Verdana" w:cs="Arial,Bold"/>
                <w:b/>
                <w:bCs/>
                <w:sz w:val="20"/>
                <w:szCs w:val="20"/>
              </w:rPr>
              <w:t>Subtest IV: Bilingual Education and Bilingualism; Intercultural</w:t>
            </w:r>
          </w:p>
          <w:p w14:paraId="6B77B367" w14:textId="77777777" w:rsidR="00A72CD6" w:rsidRPr="009F1F9A" w:rsidRDefault="00A72CD6" w:rsidP="009F1F9A">
            <w:pPr>
              <w:ind w:left="113" w:right="113"/>
              <w:jc w:val="center"/>
              <w:rPr>
                <w:rFonts w:ascii="Verdana" w:hAnsi="Verdana"/>
                <w:b/>
                <w:sz w:val="20"/>
                <w:szCs w:val="20"/>
              </w:rPr>
            </w:pPr>
            <w:r w:rsidRPr="009F1F9A">
              <w:rPr>
                <w:rFonts w:ascii="Verdana" w:hAnsi="Verdana" w:cs="Arial,Bold"/>
                <w:b/>
                <w:bCs/>
                <w:sz w:val="20"/>
                <w:szCs w:val="20"/>
              </w:rPr>
              <w:t>Communication; Instruction and Assessment</w:t>
            </w:r>
          </w:p>
        </w:tc>
        <w:tc>
          <w:tcPr>
            <w:tcW w:w="2592" w:type="dxa"/>
            <w:vMerge w:val="restart"/>
          </w:tcPr>
          <w:p w14:paraId="6A2A6F0D"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1: Bilingual Education and Bilingualism</w:t>
            </w:r>
          </w:p>
        </w:tc>
        <w:tc>
          <w:tcPr>
            <w:tcW w:w="5153" w:type="dxa"/>
          </w:tcPr>
          <w:p w14:paraId="78F330A4" w14:textId="77777777" w:rsidR="00A72CD6" w:rsidRPr="009F1F9A" w:rsidRDefault="00A72CD6" w:rsidP="009F1F9A">
            <w:pPr>
              <w:spacing w:before="20"/>
              <w:rPr>
                <w:rFonts w:ascii="Verdana" w:hAnsi="Verdana"/>
                <w:sz w:val="20"/>
                <w:szCs w:val="20"/>
              </w:rPr>
            </w:pPr>
            <w:r w:rsidRPr="009F1F9A">
              <w:rPr>
                <w:rFonts w:ascii="Verdana" w:hAnsi="Verdana" w:cs="TimesNewRoman,Bold"/>
                <w:bCs/>
                <w:sz w:val="20"/>
                <w:szCs w:val="20"/>
              </w:rPr>
              <w:t>001 Foundations of Bilingual Education</w:t>
            </w:r>
          </w:p>
        </w:tc>
        <w:tc>
          <w:tcPr>
            <w:tcW w:w="1783" w:type="dxa"/>
          </w:tcPr>
          <w:p w14:paraId="249E0B80" w14:textId="77777777" w:rsidR="00A72CD6" w:rsidRPr="009F1F9A" w:rsidRDefault="00A72CD6" w:rsidP="00A72CD6">
            <w:pPr>
              <w:rPr>
                <w:rFonts w:ascii="Verdana" w:hAnsi="Verdana"/>
                <w:sz w:val="20"/>
                <w:szCs w:val="20"/>
              </w:rPr>
            </w:pPr>
          </w:p>
        </w:tc>
      </w:tr>
      <w:tr w:rsidR="00A72CD6" w14:paraId="0F61BC81" w14:textId="77777777" w:rsidTr="009F1F9A">
        <w:tc>
          <w:tcPr>
            <w:tcW w:w="1620" w:type="dxa"/>
            <w:vMerge/>
          </w:tcPr>
          <w:p w14:paraId="57428762" w14:textId="77777777" w:rsidR="00A72CD6" w:rsidRPr="009F1F9A" w:rsidRDefault="00A72CD6" w:rsidP="009F1F9A">
            <w:pPr>
              <w:jc w:val="center"/>
              <w:rPr>
                <w:rFonts w:ascii="Verdana" w:hAnsi="Verdana"/>
                <w:b/>
                <w:sz w:val="20"/>
                <w:szCs w:val="20"/>
              </w:rPr>
            </w:pPr>
          </w:p>
        </w:tc>
        <w:tc>
          <w:tcPr>
            <w:tcW w:w="2592" w:type="dxa"/>
            <w:vMerge/>
          </w:tcPr>
          <w:p w14:paraId="2E50A72D" w14:textId="77777777" w:rsidR="00A72CD6" w:rsidRPr="009F1F9A" w:rsidRDefault="00A72CD6" w:rsidP="00A72CD6">
            <w:pPr>
              <w:rPr>
                <w:rFonts w:ascii="Verdana" w:hAnsi="Verdana"/>
                <w:sz w:val="20"/>
                <w:szCs w:val="20"/>
              </w:rPr>
            </w:pPr>
          </w:p>
        </w:tc>
        <w:tc>
          <w:tcPr>
            <w:tcW w:w="5153" w:type="dxa"/>
          </w:tcPr>
          <w:p w14:paraId="672A2464" w14:textId="77777777" w:rsidR="00A72CD6" w:rsidRPr="009F1F9A" w:rsidRDefault="00A72CD6" w:rsidP="009F1F9A">
            <w:pPr>
              <w:spacing w:before="20"/>
              <w:rPr>
                <w:rFonts w:ascii="Verdana" w:hAnsi="Verdana"/>
                <w:sz w:val="20"/>
                <w:szCs w:val="20"/>
              </w:rPr>
            </w:pPr>
            <w:r w:rsidRPr="009F1F9A">
              <w:rPr>
                <w:rFonts w:ascii="Verdana" w:hAnsi="Verdana" w:cs="TimesNewRoman,Bold"/>
                <w:bCs/>
                <w:sz w:val="20"/>
                <w:szCs w:val="20"/>
              </w:rPr>
              <w:t>002 Bilingualism and Biliteracy</w:t>
            </w:r>
          </w:p>
        </w:tc>
        <w:tc>
          <w:tcPr>
            <w:tcW w:w="1783" w:type="dxa"/>
          </w:tcPr>
          <w:p w14:paraId="56C2EF43" w14:textId="77777777" w:rsidR="00A72CD6" w:rsidRPr="009F1F9A" w:rsidRDefault="00A72CD6" w:rsidP="00A72CD6">
            <w:pPr>
              <w:rPr>
                <w:rFonts w:ascii="Verdana" w:hAnsi="Verdana"/>
                <w:sz w:val="20"/>
                <w:szCs w:val="20"/>
              </w:rPr>
            </w:pPr>
          </w:p>
        </w:tc>
      </w:tr>
      <w:tr w:rsidR="00A72CD6" w14:paraId="20F8E0F3" w14:textId="77777777" w:rsidTr="009F1F9A">
        <w:tc>
          <w:tcPr>
            <w:tcW w:w="1620" w:type="dxa"/>
            <w:vMerge/>
          </w:tcPr>
          <w:p w14:paraId="33894834" w14:textId="77777777" w:rsidR="00A72CD6" w:rsidRPr="009F1F9A" w:rsidRDefault="00A72CD6" w:rsidP="009F1F9A">
            <w:pPr>
              <w:jc w:val="center"/>
              <w:rPr>
                <w:rFonts w:ascii="Verdana" w:hAnsi="Verdana"/>
                <w:b/>
                <w:sz w:val="20"/>
                <w:szCs w:val="20"/>
              </w:rPr>
            </w:pPr>
          </w:p>
        </w:tc>
        <w:tc>
          <w:tcPr>
            <w:tcW w:w="2592" w:type="dxa"/>
            <w:vMerge w:val="restart"/>
          </w:tcPr>
          <w:p w14:paraId="34A3B43B"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2: Intercultural Communication</w:t>
            </w:r>
          </w:p>
        </w:tc>
        <w:tc>
          <w:tcPr>
            <w:tcW w:w="5153" w:type="dxa"/>
          </w:tcPr>
          <w:p w14:paraId="0745FDE6" w14:textId="77777777" w:rsidR="00A72CD6" w:rsidRPr="009F1F9A" w:rsidRDefault="00A72CD6" w:rsidP="009F1F9A">
            <w:pPr>
              <w:spacing w:before="20"/>
              <w:rPr>
                <w:rFonts w:ascii="Verdana" w:hAnsi="Verdana"/>
                <w:sz w:val="20"/>
                <w:szCs w:val="20"/>
              </w:rPr>
            </w:pPr>
            <w:r w:rsidRPr="009F1F9A">
              <w:rPr>
                <w:rFonts w:ascii="Verdana" w:hAnsi="Verdana" w:cs="TimesNewRoman,Bold"/>
                <w:bCs/>
                <w:sz w:val="20"/>
                <w:szCs w:val="20"/>
              </w:rPr>
              <w:t>003 Intercultural Communication and Culturally Inclusive Instruction</w:t>
            </w:r>
          </w:p>
        </w:tc>
        <w:tc>
          <w:tcPr>
            <w:tcW w:w="1783" w:type="dxa"/>
          </w:tcPr>
          <w:p w14:paraId="232A1874" w14:textId="77777777" w:rsidR="00A72CD6" w:rsidRPr="009F1F9A" w:rsidRDefault="00A72CD6" w:rsidP="00A72CD6">
            <w:pPr>
              <w:rPr>
                <w:rFonts w:ascii="Verdana" w:hAnsi="Verdana"/>
                <w:sz w:val="20"/>
                <w:szCs w:val="20"/>
              </w:rPr>
            </w:pPr>
          </w:p>
        </w:tc>
      </w:tr>
      <w:tr w:rsidR="00A72CD6" w14:paraId="7125C623" w14:textId="77777777" w:rsidTr="009F1F9A">
        <w:tc>
          <w:tcPr>
            <w:tcW w:w="1620" w:type="dxa"/>
            <w:vMerge/>
          </w:tcPr>
          <w:p w14:paraId="06DA96B5" w14:textId="77777777" w:rsidR="00A72CD6" w:rsidRPr="009F1F9A" w:rsidRDefault="00A72CD6" w:rsidP="009F1F9A">
            <w:pPr>
              <w:jc w:val="center"/>
              <w:rPr>
                <w:rFonts w:ascii="Verdana" w:hAnsi="Verdana"/>
                <w:b/>
                <w:sz w:val="20"/>
                <w:szCs w:val="20"/>
              </w:rPr>
            </w:pPr>
          </w:p>
        </w:tc>
        <w:tc>
          <w:tcPr>
            <w:tcW w:w="2592" w:type="dxa"/>
            <w:vMerge/>
          </w:tcPr>
          <w:p w14:paraId="0AD45BB9" w14:textId="77777777" w:rsidR="00A72CD6" w:rsidRPr="009F1F9A" w:rsidRDefault="00A72CD6" w:rsidP="00A72CD6">
            <w:pPr>
              <w:rPr>
                <w:rFonts w:ascii="Verdana" w:hAnsi="Verdana"/>
                <w:sz w:val="20"/>
                <w:szCs w:val="20"/>
              </w:rPr>
            </w:pPr>
          </w:p>
        </w:tc>
        <w:tc>
          <w:tcPr>
            <w:tcW w:w="5153" w:type="dxa"/>
          </w:tcPr>
          <w:p w14:paraId="0FCF8401" w14:textId="77777777" w:rsidR="00A72CD6" w:rsidRPr="009F1F9A" w:rsidRDefault="00A72CD6" w:rsidP="009F1F9A">
            <w:pPr>
              <w:spacing w:before="20"/>
              <w:rPr>
                <w:rFonts w:ascii="Verdana" w:hAnsi="Verdana"/>
                <w:sz w:val="20"/>
                <w:szCs w:val="20"/>
              </w:rPr>
            </w:pPr>
            <w:r w:rsidRPr="009F1F9A">
              <w:rPr>
                <w:rFonts w:ascii="Verdana" w:hAnsi="Verdana" w:cs="TimesNewRoman,Bold"/>
                <w:bCs/>
                <w:sz w:val="20"/>
                <w:szCs w:val="20"/>
              </w:rPr>
              <w:t>004 School, Home, and Community Collaboration</w:t>
            </w:r>
          </w:p>
        </w:tc>
        <w:tc>
          <w:tcPr>
            <w:tcW w:w="1783" w:type="dxa"/>
          </w:tcPr>
          <w:p w14:paraId="2707CBE5" w14:textId="77777777" w:rsidR="00A72CD6" w:rsidRPr="009F1F9A" w:rsidRDefault="00A72CD6" w:rsidP="00A72CD6">
            <w:pPr>
              <w:rPr>
                <w:rFonts w:ascii="Verdana" w:hAnsi="Verdana"/>
                <w:sz w:val="20"/>
                <w:szCs w:val="20"/>
              </w:rPr>
            </w:pPr>
          </w:p>
        </w:tc>
      </w:tr>
      <w:tr w:rsidR="00A72CD6" w14:paraId="1AB89E6E" w14:textId="77777777" w:rsidTr="009F1F9A">
        <w:tc>
          <w:tcPr>
            <w:tcW w:w="1620" w:type="dxa"/>
            <w:vMerge/>
          </w:tcPr>
          <w:p w14:paraId="512F2486" w14:textId="77777777" w:rsidR="00A72CD6" w:rsidRPr="009F1F9A" w:rsidRDefault="00A72CD6" w:rsidP="009F1F9A">
            <w:pPr>
              <w:jc w:val="center"/>
              <w:rPr>
                <w:rFonts w:ascii="Verdana" w:hAnsi="Verdana"/>
                <w:b/>
                <w:sz w:val="20"/>
                <w:szCs w:val="20"/>
              </w:rPr>
            </w:pPr>
          </w:p>
        </w:tc>
        <w:tc>
          <w:tcPr>
            <w:tcW w:w="2592" w:type="dxa"/>
            <w:vMerge w:val="restart"/>
          </w:tcPr>
          <w:p w14:paraId="1899139B"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3: Instruction and Assessment</w:t>
            </w:r>
          </w:p>
        </w:tc>
        <w:tc>
          <w:tcPr>
            <w:tcW w:w="5153" w:type="dxa"/>
          </w:tcPr>
          <w:p w14:paraId="4391DC81" w14:textId="77777777" w:rsidR="00A72CD6" w:rsidRPr="009F1F9A" w:rsidRDefault="00A72CD6" w:rsidP="009F1F9A">
            <w:pPr>
              <w:spacing w:before="20"/>
              <w:rPr>
                <w:rFonts w:ascii="Verdana" w:hAnsi="Verdana"/>
                <w:sz w:val="20"/>
                <w:szCs w:val="20"/>
              </w:rPr>
            </w:pPr>
            <w:r w:rsidRPr="009F1F9A">
              <w:rPr>
                <w:rFonts w:ascii="Verdana" w:hAnsi="Verdana" w:cs="TimesNewRoman,Bold"/>
                <w:bCs/>
                <w:sz w:val="20"/>
                <w:szCs w:val="20"/>
              </w:rPr>
              <w:t>005 Language and Literacy Instruction and Assessment in Bilingual Education Settings</w:t>
            </w:r>
          </w:p>
        </w:tc>
        <w:tc>
          <w:tcPr>
            <w:tcW w:w="1783" w:type="dxa"/>
          </w:tcPr>
          <w:p w14:paraId="4DC5075F" w14:textId="77777777" w:rsidR="00A72CD6" w:rsidRPr="009F1F9A" w:rsidRDefault="00A72CD6" w:rsidP="00A72CD6">
            <w:pPr>
              <w:rPr>
                <w:rFonts w:ascii="Verdana" w:hAnsi="Verdana"/>
                <w:sz w:val="20"/>
                <w:szCs w:val="20"/>
              </w:rPr>
            </w:pPr>
          </w:p>
        </w:tc>
      </w:tr>
      <w:tr w:rsidR="00A72CD6" w14:paraId="2E621BD9" w14:textId="77777777" w:rsidTr="009F1F9A">
        <w:tc>
          <w:tcPr>
            <w:tcW w:w="1620" w:type="dxa"/>
            <w:vMerge/>
          </w:tcPr>
          <w:p w14:paraId="37A2B069" w14:textId="77777777" w:rsidR="00A72CD6" w:rsidRPr="009F1F9A" w:rsidRDefault="00A72CD6" w:rsidP="009F1F9A">
            <w:pPr>
              <w:jc w:val="center"/>
              <w:rPr>
                <w:rFonts w:ascii="Verdana" w:hAnsi="Verdana"/>
                <w:b/>
                <w:sz w:val="20"/>
                <w:szCs w:val="20"/>
              </w:rPr>
            </w:pPr>
          </w:p>
        </w:tc>
        <w:tc>
          <w:tcPr>
            <w:tcW w:w="2592" w:type="dxa"/>
            <w:vMerge/>
          </w:tcPr>
          <w:p w14:paraId="77568CCD" w14:textId="77777777" w:rsidR="00A72CD6" w:rsidRPr="009F1F9A" w:rsidRDefault="00A72CD6" w:rsidP="00A72CD6">
            <w:pPr>
              <w:rPr>
                <w:rFonts w:ascii="Verdana" w:hAnsi="Verdana"/>
                <w:sz w:val="20"/>
                <w:szCs w:val="20"/>
              </w:rPr>
            </w:pPr>
          </w:p>
        </w:tc>
        <w:tc>
          <w:tcPr>
            <w:tcW w:w="5153" w:type="dxa"/>
          </w:tcPr>
          <w:p w14:paraId="4E647A73" w14:textId="77777777" w:rsidR="00A72CD6" w:rsidRPr="009F1F9A" w:rsidRDefault="00A72CD6" w:rsidP="009F1F9A">
            <w:pPr>
              <w:spacing w:before="20"/>
              <w:rPr>
                <w:rFonts w:ascii="Verdana" w:hAnsi="Verdana"/>
                <w:sz w:val="20"/>
                <w:szCs w:val="20"/>
              </w:rPr>
            </w:pPr>
            <w:r w:rsidRPr="009F1F9A">
              <w:rPr>
                <w:rFonts w:ascii="Verdana" w:hAnsi="Verdana" w:cs="TimesNewRoman,Bold"/>
                <w:bCs/>
                <w:sz w:val="20"/>
                <w:szCs w:val="20"/>
              </w:rPr>
              <w:t>006 Content Instruction and Assessment in Bilingual Education Settings</w:t>
            </w:r>
          </w:p>
        </w:tc>
        <w:tc>
          <w:tcPr>
            <w:tcW w:w="1783" w:type="dxa"/>
          </w:tcPr>
          <w:p w14:paraId="7FBA6FDB" w14:textId="77777777" w:rsidR="00A72CD6" w:rsidRPr="009F1F9A" w:rsidRDefault="00A72CD6" w:rsidP="00A72CD6">
            <w:pPr>
              <w:rPr>
                <w:rFonts w:ascii="Verdana" w:hAnsi="Verdana"/>
                <w:sz w:val="20"/>
                <w:szCs w:val="20"/>
              </w:rPr>
            </w:pPr>
          </w:p>
        </w:tc>
      </w:tr>
      <w:tr w:rsidR="00A72CD6" w14:paraId="393817AB" w14:textId="77777777" w:rsidTr="009F1F9A">
        <w:tc>
          <w:tcPr>
            <w:tcW w:w="1620" w:type="dxa"/>
            <w:vMerge/>
          </w:tcPr>
          <w:p w14:paraId="04D30DE8" w14:textId="77777777" w:rsidR="00A72CD6" w:rsidRPr="009F1F9A" w:rsidRDefault="00A72CD6" w:rsidP="009F1F9A">
            <w:pPr>
              <w:jc w:val="center"/>
              <w:rPr>
                <w:rFonts w:ascii="Verdana" w:hAnsi="Verdana"/>
                <w:b/>
                <w:sz w:val="20"/>
                <w:szCs w:val="20"/>
              </w:rPr>
            </w:pPr>
          </w:p>
        </w:tc>
        <w:tc>
          <w:tcPr>
            <w:tcW w:w="2592" w:type="dxa"/>
            <w:vMerge/>
          </w:tcPr>
          <w:p w14:paraId="2FC927FE" w14:textId="77777777" w:rsidR="00A72CD6" w:rsidRPr="009F1F9A" w:rsidRDefault="00A72CD6" w:rsidP="00A72CD6">
            <w:pPr>
              <w:rPr>
                <w:rFonts w:ascii="Verdana" w:hAnsi="Verdana"/>
                <w:sz w:val="20"/>
                <w:szCs w:val="20"/>
              </w:rPr>
            </w:pPr>
          </w:p>
        </w:tc>
        <w:tc>
          <w:tcPr>
            <w:tcW w:w="5153" w:type="dxa"/>
          </w:tcPr>
          <w:p w14:paraId="53100347" w14:textId="77777777" w:rsidR="00A72CD6" w:rsidRPr="009F1F9A" w:rsidRDefault="00A72CD6" w:rsidP="009F1F9A">
            <w:pPr>
              <w:spacing w:before="20"/>
              <w:rPr>
                <w:rFonts w:ascii="Verdana" w:hAnsi="Verdana" w:cs="TimesNewRoman,Bold"/>
                <w:bCs/>
                <w:sz w:val="20"/>
                <w:szCs w:val="20"/>
              </w:rPr>
            </w:pPr>
            <w:r w:rsidRPr="009F1F9A">
              <w:rPr>
                <w:rFonts w:ascii="Verdana" w:hAnsi="Verdana" w:cs="TimesNewRoman,Bold"/>
                <w:bCs/>
                <w:sz w:val="20"/>
                <w:szCs w:val="20"/>
              </w:rPr>
              <w:t>007 Evaluation, Use, and Augmentation of Materials in Bilingual Education Settings</w:t>
            </w:r>
          </w:p>
        </w:tc>
        <w:tc>
          <w:tcPr>
            <w:tcW w:w="1783" w:type="dxa"/>
          </w:tcPr>
          <w:p w14:paraId="285AA9FD" w14:textId="77777777" w:rsidR="00A72CD6" w:rsidRPr="009F1F9A" w:rsidRDefault="00A72CD6" w:rsidP="00A72CD6">
            <w:pPr>
              <w:rPr>
                <w:rFonts w:ascii="Verdana" w:hAnsi="Verdana"/>
                <w:sz w:val="20"/>
                <w:szCs w:val="20"/>
              </w:rPr>
            </w:pPr>
          </w:p>
        </w:tc>
      </w:tr>
    </w:tbl>
    <w:p w14:paraId="37F0BCE9" w14:textId="77777777" w:rsidR="00930EE6" w:rsidRPr="00251A71" w:rsidRDefault="0006180A" w:rsidP="00251A71">
      <w:pPr>
        <w:tabs>
          <w:tab w:val="left" w:pos="720"/>
        </w:tabs>
        <w:jc w:val="center"/>
        <w:rPr>
          <w:i/>
        </w:rPr>
      </w:pPr>
      <w:r>
        <w:br w:type="page"/>
      </w:r>
      <w:r w:rsidR="00930EE6" w:rsidRPr="008A0731">
        <w:rPr>
          <w:b/>
          <w:sz w:val="28"/>
          <w:szCs w:val="28"/>
        </w:rPr>
        <w:lastRenderedPageBreak/>
        <w:t>A</w:t>
      </w:r>
      <w:r w:rsidR="006A536C">
        <w:rPr>
          <w:b/>
          <w:sz w:val="28"/>
          <w:szCs w:val="28"/>
        </w:rPr>
        <w:t>ppendix</w:t>
      </w:r>
      <w:r w:rsidR="00930EE6" w:rsidRPr="008A0731">
        <w:rPr>
          <w:b/>
          <w:sz w:val="28"/>
          <w:szCs w:val="28"/>
        </w:rPr>
        <w:t xml:space="preserve"> </w:t>
      </w:r>
      <w:r w:rsidR="00F277AA">
        <w:rPr>
          <w:b/>
          <w:sz w:val="28"/>
          <w:szCs w:val="28"/>
        </w:rPr>
        <w:t>D</w:t>
      </w:r>
      <w:r w:rsidR="00251A71">
        <w:rPr>
          <w:b/>
          <w:sz w:val="28"/>
          <w:szCs w:val="28"/>
        </w:rPr>
        <w:t xml:space="preserve">: </w:t>
      </w:r>
      <w:r w:rsidR="00930EE6" w:rsidRPr="003D27FB">
        <w:rPr>
          <w:b/>
          <w:sz w:val="32"/>
          <w:szCs w:val="32"/>
        </w:rPr>
        <w:t xml:space="preserve">Sample Matrix to guide Bilingual Authorization </w:t>
      </w:r>
      <w:r w:rsidR="00930EE6">
        <w:rPr>
          <w:b/>
          <w:sz w:val="32"/>
          <w:szCs w:val="32"/>
        </w:rPr>
        <w:t>Routes</w:t>
      </w:r>
    </w:p>
    <w:p w14:paraId="298BFC8E" w14:textId="77777777" w:rsidR="00930EE6" w:rsidRPr="003D27FB" w:rsidRDefault="00930EE6" w:rsidP="00930EE6">
      <w:pPr>
        <w:jc w:val="center"/>
        <w:rPr>
          <w:b/>
          <w:sz w:val="28"/>
          <w:szCs w:val="28"/>
        </w:rPr>
      </w:pPr>
      <w:proofErr w:type="gramStart"/>
      <w:r w:rsidRPr="003D27FB">
        <w:rPr>
          <w:b/>
          <w:sz w:val="28"/>
          <w:szCs w:val="28"/>
        </w:rPr>
        <w:t>CSET:LOTE</w:t>
      </w:r>
      <w:proofErr w:type="gramEnd"/>
      <w:r w:rsidRPr="003D27FB">
        <w:rPr>
          <w:b/>
          <w:sz w:val="28"/>
          <w:szCs w:val="28"/>
        </w:rPr>
        <w:t xml:space="preserve"> Examination Subtest</w:t>
      </w:r>
      <w:r>
        <w:rPr>
          <w:b/>
          <w:sz w:val="28"/>
          <w:szCs w:val="28"/>
        </w:rPr>
        <w:t xml:space="preserve"> Domains</w:t>
      </w:r>
      <w:r w:rsidRPr="003D27FB">
        <w:rPr>
          <w:b/>
          <w:sz w:val="28"/>
          <w:szCs w:val="28"/>
        </w:rPr>
        <w:t xml:space="preserve"> </w:t>
      </w:r>
      <w:r>
        <w:rPr>
          <w:b/>
          <w:sz w:val="28"/>
          <w:szCs w:val="28"/>
        </w:rPr>
        <w:t>and Program C</w:t>
      </w:r>
      <w:r w:rsidRPr="003D27FB">
        <w:rPr>
          <w:b/>
          <w:sz w:val="28"/>
          <w:szCs w:val="28"/>
        </w:rPr>
        <w:t xml:space="preserve">oursework </w:t>
      </w:r>
    </w:p>
    <w:p w14:paraId="7A64991E" w14:textId="77777777" w:rsidR="0006180A" w:rsidRDefault="00930EE6" w:rsidP="00930EE6">
      <w:pPr>
        <w:jc w:val="center"/>
      </w:pPr>
      <w:hyperlink r:id="rId40" w:history="1">
        <w:r w:rsidRPr="00F35BF6">
          <w:rPr>
            <w:rStyle w:val="Hyperlink"/>
          </w:rPr>
          <w:t>http://www.cset.nesinc.com/CS_SMR_opener.asp</w:t>
        </w:r>
      </w:hyperlink>
    </w:p>
    <w:p w14:paraId="00530352" w14:textId="77777777" w:rsidR="00930EE6" w:rsidRDefault="00930EE6"/>
    <w:p w14:paraId="0BB3182A" w14:textId="77777777" w:rsidR="00930EE6" w:rsidRDefault="00930EE6"/>
    <w:tbl>
      <w:tblPr>
        <w:tblW w:w="1114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92"/>
        <w:gridCol w:w="5153"/>
        <w:gridCol w:w="1783"/>
      </w:tblGrid>
      <w:tr w:rsidR="0089533B" w14:paraId="61C3DE2E" w14:textId="77777777" w:rsidTr="009F1F9A">
        <w:trPr>
          <w:trHeight w:val="413"/>
        </w:trPr>
        <w:tc>
          <w:tcPr>
            <w:tcW w:w="1620" w:type="dxa"/>
          </w:tcPr>
          <w:p w14:paraId="70B2BFA6" w14:textId="77777777" w:rsidR="0089533B" w:rsidRPr="009F1F9A" w:rsidRDefault="0089533B" w:rsidP="009F1F9A">
            <w:pPr>
              <w:jc w:val="center"/>
              <w:rPr>
                <w:rFonts w:ascii="Verdana" w:hAnsi="Verdana"/>
                <w:b/>
                <w:sz w:val="22"/>
                <w:szCs w:val="22"/>
              </w:rPr>
            </w:pPr>
            <w:r w:rsidRPr="009F1F9A">
              <w:rPr>
                <w:rFonts w:ascii="Verdana" w:hAnsi="Verdana"/>
                <w:b/>
                <w:sz w:val="22"/>
                <w:szCs w:val="22"/>
              </w:rPr>
              <w:t>Subtest</w:t>
            </w:r>
          </w:p>
        </w:tc>
        <w:tc>
          <w:tcPr>
            <w:tcW w:w="2592" w:type="dxa"/>
          </w:tcPr>
          <w:p w14:paraId="146F3AF5" w14:textId="77777777" w:rsidR="0089533B" w:rsidRPr="009F1F9A" w:rsidRDefault="0089533B" w:rsidP="009F1F9A">
            <w:pPr>
              <w:jc w:val="center"/>
              <w:rPr>
                <w:rFonts w:ascii="Verdana" w:hAnsi="Verdana"/>
                <w:b/>
                <w:sz w:val="22"/>
                <w:szCs w:val="22"/>
              </w:rPr>
            </w:pPr>
            <w:r w:rsidRPr="009F1F9A">
              <w:rPr>
                <w:rFonts w:ascii="Verdana" w:hAnsi="Verdana"/>
                <w:b/>
                <w:sz w:val="22"/>
                <w:szCs w:val="22"/>
              </w:rPr>
              <w:t>Domain</w:t>
            </w:r>
          </w:p>
        </w:tc>
        <w:tc>
          <w:tcPr>
            <w:tcW w:w="5153" w:type="dxa"/>
          </w:tcPr>
          <w:p w14:paraId="0A3596B5" w14:textId="77777777" w:rsidR="0089533B" w:rsidRPr="009F1F9A" w:rsidRDefault="0089533B" w:rsidP="009F1F9A">
            <w:pPr>
              <w:jc w:val="center"/>
              <w:rPr>
                <w:rFonts w:ascii="Verdana" w:hAnsi="Verdana"/>
                <w:b/>
                <w:sz w:val="22"/>
                <w:szCs w:val="22"/>
              </w:rPr>
            </w:pPr>
            <w:r w:rsidRPr="009F1F9A">
              <w:rPr>
                <w:rFonts w:ascii="Verdana" w:hAnsi="Verdana"/>
                <w:b/>
                <w:sz w:val="22"/>
                <w:szCs w:val="22"/>
              </w:rPr>
              <w:t xml:space="preserve">Knowledge, </w:t>
            </w:r>
            <w:proofErr w:type="gramStart"/>
            <w:r w:rsidRPr="009F1F9A">
              <w:rPr>
                <w:rFonts w:ascii="Verdana" w:hAnsi="Verdana"/>
                <w:b/>
                <w:sz w:val="22"/>
                <w:szCs w:val="22"/>
              </w:rPr>
              <w:t>Skills</w:t>
            </w:r>
            <w:proofErr w:type="gramEnd"/>
            <w:r w:rsidRPr="009F1F9A">
              <w:rPr>
                <w:rFonts w:ascii="Verdana" w:hAnsi="Verdana"/>
                <w:b/>
                <w:sz w:val="22"/>
                <w:szCs w:val="22"/>
              </w:rPr>
              <w:t xml:space="preserve"> and Abilities</w:t>
            </w:r>
          </w:p>
        </w:tc>
        <w:tc>
          <w:tcPr>
            <w:tcW w:w="1783" w:type="dxa"/>
          </w:tcPr>
          <w:p w14:paraId="44E35F17" w14:textId="77777777" w:rsidR="0089533B" w:rsidRPr="009F1F9A" w:rsidRDefault="0089533B" w:rsidP="009F1F9A">
            <w:pPr>
              <w:jc w:val="center"/>
              <w:rPr>
                <w:rFonts w:ascii="Verdana" w:hAnsi="Verdana"/>
                <w:b/>
                <w:sz w:val="22"/>
                <w:szCs w:val="22"/>
              </w:rPr>
            </w:pPr>
            <w:r w:rsidRPr="009F1F9A">
              <w:rPr>
                <w:rFonts w:ascii="Verdana" w:hAnsi="Verdana"/>
                <w:b/>
                <w:sz w:val="22"/>
                <w:szCs w:val="22"/>
              </w:rPr>
              <w:t>Course(s)</w:t>
            </w:r>
          </w:p>
        </w:tc>
      </w:tr>
      <w:tr w:rsidR="00A72CD6" w14:paraId="757B0304" w14:textId="77777777" w:rsidTr="009F1F9A">
        <w:trPr>
          <w:trHeight w:val="413"/>
        </w:trPr>
        <w:tc>
          <w:tcPr>
            <w:tcW w:w="1620" w:type="dxa"/>
            <w:vMerge w:val="restart"/>
            <w:textDirection w:val="btLr"/>
          </w:tcPr>
          <w:p w14:paraId="322F68F9" w14:textId="77777777" w:rsidR="00A72CD6" w:rsidRPr="009F1F9A" w:rsidRDefault="00A72CD6" w:rsidP="009F1F9A">
            <w:pPr>
              <w:autoSpaceDE w:val="0"/>
              <w:autoSpaceDN w:val="0"/>
              <w:adjustRightInd w:val="0"/>
              <w:ind w:left="113" w:right="113"/>
              <w:jc w:val="center"/>
              <w:rPr>
                <w:rFonts w:ascii="Verdana" w:hAnsi="Verdana" w:cs="Arial,Bold"/>
                <w:b/>
                <w:bCs/>
                <w:sz w:val="20"/>
                <w:szCs w:val="20"/>
              </w:rPr>
            </w:pPr>
            <w:r w:rsidRPr="009F1F9A">
              <w:rPr>
                <w:rFonts w:ascii="Verdana" w:hAnsi="Verdana" w:cs="Arial,Bold"/>
                <w:b/>
                <w:bCs/>
                <w:sz w:val="20"/>
                <w:szCs w:val="20"/>
              </w:rPr>
              <w:t xml:space="preserve">Subtest V: Geographic and Historical </w:t>
            </w:r>
            <w:proofErr w:type="gramStart"/>
            <w:r w:rsidRPr="009F1F9A">
              <w:rPr>
                <w:rFonts w:ascii="Verdana" w:hAnsi="Verdana" w:cs="Arial,Bold"/>
                <w:b/>
                <w:bCs/>
                <w:sz w:val="20"/>
                <w:szCs w:val="20"/>
              </w:rPr>
              <w:t>Contexts;</w:t>
            </w:r>
            <w:proofErr w:type="gramEnd"/>
          </w:p>
          <w:p w14:paraId="5FDADF43" w14:textId="77777777" w:rsidR="00A72CD6" w:rsidRPr="009F1F9A" w:rsidRDefault="00A72CD6" w:rsidP="009F1F9A">
            <w:pPr>
              <w:ind w:left="113" w:right="113"/>
              <w:jc w:val="center"/>
              <w:rPr>
                <w:rFonts w:ascii="Verdana" w:hAnsi="Verdana"/>
                <w:b/>
                <w:sz w:val="20"/>
                <w:szCs w:val="20"/>
              </w:rPr>
            </w:pPr>
            <w:r w:rsidRPr="009F1F9A">
              <w:rPr>
                <w:rFonts w:ascii="Verdana" w:hAnsi="Verdana" w:cs="Arial,Bold"/>
                <w:b/>
                <w:bCs/>
                <w:sz w:val="20"/>
                <w:szCs w:val="20"/>
              </w:rPr>
              <w:t xml:space="preserve">Sociopolitical and </w:t>
            </w:r>
            <w:r w:rsidRPr="009F1F9A">
              <w:rPr>
                <w:rFonts w:ascii="Verdana" w:hAnsi="Verdana" w:cs="TimesNewRoman,Bold"/>
                <w:b/>
                <w:bCs/>
                <w:sz w:val="20"/>
                <w:szCs w:val="20"/>
              </w:rPr>
              <w:t>Sociocultural Contexts</w:t>
            </w:r>
          </w:p>
        </w:tc>
        <w:tc>
          <w:tcPr>
            <w:tcW w:w="2592" w:type="dxa"/>
            <w:vMerge w:val="restart"/>
          </w:tcPr>
          <w:p w14:paraId="6AB40021" w14:textId="77777777" w:rsidR="00A72CD6" w:rsidRPr="009F1F9A" w:rsidRDefault="00A72CD6" w:rsidP="00A72CD6">
            <w:pPr>
              <w:rPr>
                <w:rFonts w:ascii="Verdana" w:hAnsi="Verdana"/>
                <w:sz w:val="20"/>
                <w:szCs w:val="20"/>
              </w:rPr>
            </w:pPr>
            <w:r w:rsidRPr="009F1F9A">
              <w:rPr>
                <w:rFonts w:ascii="Verdana" w:hAnsi="Verdana" w:cs="TimesNewRoman,Bold"/>
                <w:bCs/>
                <w:sz w:val="20"/>
                <w:szCs w:val="20"/>
              </w:rPr>
              <w:t>1: Geographic and Historical Contexts</w:t>
            </w:r>
          </w:p>
        </w:tc>
        <w:tc>
          <w:tcPr>
            <w:tcW w:w="5153" w:type="dxa"/>
          </w:tcPr>
          <w:p w14:paraId="1675D652" w14:textId="77777777" w:rsidR="00A72CD6" w:rsidRPr="009F1F9A" w:rsidRDefault="00A72CD6" w:rsidP="009F1F9A">
            <w:pPr>
              <w:spacing w:before="20"/>
              <w:rPr>
                <w:rFonts w:ascii="Verdana" w:hAnsi="Verdana" w:cs="TimesNewRoman,Bold"/>
                <w:bCs/>
                <w:sz w:val="20"/>
                <w:szCs w:val="20"/>
              </w:rPr>
            </w:pPr>
            <w:r w:rsidRPr="009F1F9A">
              <w:rPr>
                <w:rFonts w:ascii="Verdana" w:hAnsi="Verdana" w:cs="TimesNewRoman,Bold"/>
                <w:bCs/>
                <w:sz w:val="20"/>
                <w:szCs w:val="20"/>
              </w:rPr>
              <w:t>001 The Geographic and Demographic Contexts</w:t>
            </w:r>
          </w:p>
        </w:tc>
        <w:tc>
          <w:tcPr>
            <w:tcW w:w="1783" w:type="dxa"/>
          </w:tcPr>
          <w:p w14:paraId="41ABC395" w14:textId="77777777" w:rsidR="00A72CD6" w:rsidRPr="009F1F9A" w:rsidRDefault="00A72CD6" w:rsidP="00A72CD6">
            <w:pPr>
              <w:rPr>
                <w:rFonts w:ascii="Verdana" w:hAnsi="Verdana"/>
                <w:sz w:val="20"/>
                <w:szCs w:val="20"/>
              </w:rPr>
            </w:pPr>
          </w:p>
        </w:tc>
      </w:tr>
      <w:tr w:rsidR="00A72CD6" w14:paraId="7612E307" w14:textId="77777777" w:rsidTr="009F1F9A">
        <w:trPr>
          <w:trHeight w:val="575"/>
        </w:trPr>
        <w:tc>
          <w:tcPr>
            <w:tcW w:w="1620" w:type="dxa"/>
            <w:vMerge/>
          </w:tcPr>
          <w:p w14:paraId="0B2FB322" w14:textId="77777777" w:rsidR="00A72CD6" w:rsidRPr="009F1F9A" w:rsidRDefault="00A72CD6" w:rsidP="009F1F9A">
            <w:pPr>
              <w:autoSpaceDE w:val="0"/>
              <w:autoSpaceDN w:val="0"/>
              <w:adjustRightInd w:val="0"/>
              <w:rPr>
                <w:rFonts w:ascii="Verdana" w:hAnsi="Verdana" w:cs="Arial,Bold"/>
                <w:bCs/>
                <w:sz w:val="20"/>
                <w:szCs w:val="20"/>
              </w:rPr>
            </w:pPr>
          </w:p>
        </w:tc>
        <w:tc>
          <w:tcPr>
            <w:tcW w:w="2592" w:type="dxa"/>
            <w:vMerge/>
          </w:tcPr>
          <w:p w14:paraId="3FF7CA70" w14:textId="77777777" w:rsidR="00A72CD6" w:rsidRPr="009F1F9A" w:rsidRDefault="00A72CD6" w:rsidP="00A72CD6">
            <w:pPr>
              <w:rPr>
                <w:rFonts w:ascii="Verdana" w:hAnsi="Verdana" w:cs="TimesNewRoman,Bold"/>
                <w:bCs/>
                <w:sz w:val="20"/>
                <w:szCs w:val="20"/>
              </w:rPr>
            </w:pPr>
          </w:p>
        </w:tc>
        <w:tc>
          <w:tcPr>
            <w:tcW w:w="5153" w:type="dxa"/>
          </w:tcPr>
          <w:p w14:paraId="201DEF2D" w14:textId="77777777" w:rsidR="00A72CD6" w:rsidRPr="009F1F9A" w:rsidRDefault="00A72CD6" w:rsidP="009F1F9A">
            <w:pPr>
              <w:spacing w:before="20"/>
              <w:rPr>
                <w:rFonts w:ascii="Verdana" w:hAnsi="Verdana" w:cs="TimesNewRoman,Bold"/>
                <w:bCs/>
                <w:sz w:val="20"/>
                <w:szCs w:val="20"/>
              </w:rPr>
            </w:pPr>
            <w:r w:rsidRPr="009F1F9A">
              <w:rPr>
                <w:rFonts w:ascii="Verdana" w:hAnsi="Verdana" w:cs="TimesNewRoman,Bold"/>
                <w:bCs/>
                <w:sz w:val="20"/>
                <w:szCs w:val="20"/>
              </w:rPr>
              <w:t>002 The Historical Context</w:t>
            </w:r>
          </w:p>
        </w:tc>
        <w:tc>
          <w:tcPr>
            <w:tcW w:w="1783" w:type="dxa"/>
          </w:tcPr>
          <w:p w14:paraId="376D4593" w14:textId="77777777" w:rsidR="00A72CD6" w:rsidRPr="009F1F9A" w:rsidRDefault="00A72CD6" w:rsidP="00A72CD6">
            <w:pPr>
              <w:rPr>
                <w:rFonts w:ascii="Verdana" w:hAnsi="Verdana"/>
                <w:sz w:val="20"/>
                <w:szCs w:val="20"/>
              </w:rPr>
            </w:pPr>
          </w:p>
        </w:tc>
      </w:tr>
      <w:tr w:rsidR="00A72CD6" w14:paraId="1525029A" w14:textId="77777777" w:rsidTr="009F1F9A">
        <w:tc>
          <w:tcPr>
            <w:tcW w:w="1620" w:type="dxa"/>
            <w:vMerge/>
          </w:tcPr>
          <w:p w14:paraId="4D9C8073" w14:textId="77777777" w:rsidR="00A72CD6" w:rsidRPr="009F1F9A" w:rsidRDefault="00A72CD6" w:rsidP="009F1F9A">
            <w:pPr>
              <w:autoSpaceDE w:val="0"/>
              <w:autoSpaceDN w:val="0"/>
              <w:adjustRightInd w:val="0"/>
              <w:rPr>
                <w:rFonts w:ascii="Verdana" w:hAnsi="Verdana" w:cs="Arial,Bold"/>
                <w:bCs/>
                <w:sz w:val="20"/>
                <w:szCs w:val="20"/>
              </w:rPr>
            </w:pPr>
          </w:p>
        </w:tc>
        <w:tc>
          <w:tcPr>
            <w:tcW w:w="2592" w:type="dxa"/>
            <w:vMerge w:val="restart"/>
          </w:tcPr>
          <w:p w14:paraId="07F88DD4" w14:textId="77777777" w:rsidR="00A72CD6" w:rsidRPr="009F1F9A" w:rsidRDefault="00A72CD6" w:rsidP="00A72CD6">
            <w:pPr>
              <w:rPr>
                <w:rFonts w:ascii="Verdana" w:hAnsi="Verdana" w:cs="TimesNewRoman,Bold"/>
                <w:bCs/>
                <w:sz w:val="20"/>
                <w:szCs w:val="20"/>
              </w:rPr>
            </w:pPr>
            <w:r w:rsidRPr="009F1F9A">
              <w:rPr>
                <w:rFonts w:ascii="Verdana" w:hAnsi="Verdana" w:cs="TimesNewRoman,Bold"/>
                <w:bCs/>
                <w:sz w:val="20"/>
                <w:szCs w:val="20"/>
              </w:rPr>
              <w:t>2: Sociopolitical and Sociocultural Contexts</w:t>
            </w:r>
          </w:p>
        </w:tc>
        <w:tc>
          <w:tcPr>
            <w:tcW w:w="5153" w:type="dxa"/>
          </w:tcPr>
          <w:p w14:paraId="6565AD85" w14:textId="77777777" w:rsidR="00A72CD6" w:rsidRPr="009F1F9A" w:rsidRDefault="00A72CD6" w:rsidP="009F1F9A">
            <w:pPr>
              <w:spacing w:before="20"/>
              <w:rPr>
                <w:rFonts w:ascii="Verdana" w:hAnsi="Verdana" w:cs="TimesNewRoman,Bold"/>
                <w:bCs/>
                <w:sz w:val="20"/>
                <w:szCs w:val="20"/>
              </w:rPr>
            </w:pPr>
            <w:r w:rsidRPr="009F1F9A">
              <w:rPr>
                <w:rFonts w:ascii="Verdana" w:hAnsi="Verdana" w:cs="TimesNewRoman,Bold"/>
                <w:bCs/>
                <w:sz w:val="20"/>
                <w:szCs w:val="20"/>
              </w:rPr>
              <w:t>003 The Sociopolitical Context</w:t>
            </w:r>
          </w:p>
        </w:tc>
        <w:tc>
          <w:tcPr>
            <w:tcW w:w="1783" w:type="dxa"/>
          </w:tcPr>
          <w:p w14:paraId="08BEA74E" w14:textId="77777777" w:rsidR="00A72CD6" w:rsidRPr="009F1F9A" w:rsidRDefault="00A72CD6" w:rsidP="00A72CD6">
            <w:pPr>
              <w:rPr>
                <w:rFonts w:ascii="Verdana" w:hAnsi="Verdana"/>
                <w:sz w:val="20"/>
                <w:szCs w:val="20"/>
              </w:rPr>
            </w:pPr>
          </w:p>
        </w:tc>
      </w:tr>
      <w:tr w:rsidR="00A72CD6" w14:paraId="6FCED1D1" w14:textId="77777777" w:rsidTr="009F1F9A">
        <w:tc>
          <w:tcPr>
            <w:tcW w:w="1620" w:type="dxa"/>
            <w:vMerge/>
          </w:tcPr>
          <w:p w14:paraId="47E18850" w14:textId="77777777" w:rsidR="00A72CD6" w:rsidRPr="009F1F9A" w:rsidRDefault="00A72CD6" w:rsidP="009F1F9A">
            <w:pPr>
              <w:autoSpaceDE w:val="0"/>
              <w:autoSpaceDN w:val="0"/>
              <w:adjustRightInd w:val="0"/>
              <w:rPr>
                <w:rFonts w:ascii="Verdana" w:hAnsi="Verdana" w:cs="Arial,Bold"/>
                <w:bCs/>
                <w:sz w:val="20"/>
                <w:szCs w:val="20"/>
              </w:rPr>
            </w:pPr>
          </w:p>
        </w:tc>
        <w:tc>
          <w:tcPr>
            <w:tcW w:w="2592" w:type="dxa"/>
            <w:vMerge/>
          </w:tcPr>
          <w:p w14:paraId="32375202" w14:textId="77777777" w:rsidR="00A72CD6" w:rsidRPr="009F1F9A" w:rsidRDefault="00A72CD6" w:rsidP="00A72CD6">
            <w:pPr>
              <w:rPr>
                <w:rFonts w:ascii="Verdana" w:hAnsi="Verdana" w:cs="TimesNewRoman,Bold"/>
                <w:bCs/>
                <w:sz w:val="20"/>
                <w:szCs w:val="20"/>
              </w:rPr>
            </w:pPr>
          </w:p>
        </w:tc>
        <w:tc>
          <w:tcPr>
            <w:tcW w:w="5153" w:type="dxa"/>
          </w:tcPr>
          <w:p w14:paraId="0F51F49D" w14:textId="77777777" w:rsidR="00A72CD6" w:rsidRPr="009F1F9A" w:rsidRDefault="00A72CD6" w:rsidP="009F1F9A">
            <w:pPr>
              <w:spacing w:before="20"/>
              <w:rPr>
                <w:rFonts w:ascii="Verdana" w:hAnsi="Verdana" w:cs="TimesNewRoman,Bold"/>
                <w:bCs/>
                <w:sz w:val="20"/>
                <w:szCs w:val="20"/>
              </w:rPr>
            </w:pPr>
            <w:r w:rsidRPr="009F1F9A">
              <w:rPr>
                <w:rFonts w:ascii="Verdana" w:hAnsi="Verdana" w:cs="TimesNewRoman,Bold"/>
                <w:bCs/>
                <w:sz w:val="20"/>
                <w:szCs w:val="20"/>
              </w:rPr>
              <w:t>004 The Sociocultural Context</w:t>
            </w:r>
          </w:p>
        </w:tc>
        <w:tc>
          <w:tcPr>
            <w:tcW w:w="1783" w:type="dxa"/>
          </w:tcPr>
          <w:p w14:paraId="5621F55D" w14:textId="77777777" w:rsidR="00A72CD6" w:rsidRPr="009F1F9A" w:rsidRDefault="00A72CD6" w:rsidP="00A72CD6">
            <w:pPr>
              <w:rPr>
                <w:rFonts w:ascii="Verdana" w:hAnsi="Verdana"/>
                <w:sz w:val="20"/>
                <w:szCs w:val="20"/>
              </w:rPr>
            </w:pPr>
          </w:p>
        </w:tc>
      </w:tr>
      <w:tr w:rsidR="00A72CD6" w14:paraId="30960C51" w14:textId="77777777" w:rsidTr="009F1F9A">
        <w:trPr>
          <w:trHeight w:val="1907"/>
        </w:trPr>
        <w:tc>
          <w:tcPr>
            <w:tcW w:w="1620" w:type="dxa"/>
            <w:vMerge/>
          </w:tcPr>
          <w:p w14:paraId="6C542161" w14:textId="77777777" w:rsidR="00A72CD6" w:rsidRPr="009F1F9A" w:rsidRDefault="00A72CD6" w:rsidP="009F1F9A">
            <w:pPr>
              <w:autoSpaceDE w:val="0"/>
              <w:autoSpaceDN w:val="0"/>
              <w:adjustRightInd w:val="0"/>
              <w:rPr>
                <w:rFonts w:ascii="Verdana" w:hAnsi="Verdana" w:cs="Arial,Bold"/>
                <w:bCs/>
                <w:sz w:val="20"/>
                <w:szCs w:val="20"/>
              </w:rPr>
            </w:pPr>
          </w:p>
        </w:tc>
        <w:tc>
          <w:tcPr>
            <w:tcW w:w="2592" w:type="dxa"/>
            <w:vMerge/>
          </w:tcPr>
          <w:p w14:paraId="72917A26" w14:textId="77777777" w:rsidR="00A72CD6" w:rsidRPr="009F1F9A" w:rsidRDefault="00A72CD6" w:rsidP="00A72CD6">
            <w:pPr>
              <w:rPr>
                <w:rFonts w:ascii="Verdana" w:hAnsi="Verdana" w:cs="TimesNewRoman,Bold"/>
                <w:bCs/>
                <w:sz w:val="20"/>
                <w:szCs w:val="20"/>
              </w:rPr>
            </w:pPr>
          </w:p>
        </w:tc>
        <w:tc>
          <w:tcPr>
            <w:tcW w:w="5153" w:type="dxa"/>
          </w:tcPr>
          <w:p w14:paraId="52080402" w14:textId="77777777" w:rsidR="00A72CD6" w:rsidRPr="009F1F9A" w:rsidRDefault="00A72CD6" w:rsidP="009F1F9A">
            <w:pPr>
              <w:spacing w:before="20"/>
              <w:rPr>
                <w:rFonts w:ascii="Verdana" w:hAnsi="Verdana" w:cs="TimesNewRoman,Bold"/>
                <w:bCs/>
                <w:sz w:val="20"/>
                <w:szCs w:val="20"/>
              </w:rPr>
            </w:pPr>
            <w:r w:rsidRPr="009F1F9A">
              <w:rPr>
                <w:rFonts w:ascii="Verdana" w:hAnsi="Verdana" w:cs="TimesNewRoman,Bold"/>
                <w:bCs/>
                <w:sz w:val="20"/>
                <w:szCs w:val="20"/>
              </w:rPr>
              <w:t>005 Crosscultural, Intercultural, and Intracultural Contexts</w:t>
            </w:r>
          </w:p>
        </w:tc>
        <w:tc>
          <w:tcPr>
            <w:tcW w:w="1783" w:type="dxa"/>
          </w:tcPr>
          <w:p w14:paraId="188E927A" w14:textId="77777777" w:rsidR="00A72CD6" w:rsidRPr="009F1F9A" w:rsidRDefault="00A72CD6" w:rsidP="00A72CD6">
            <w:pPr>
              <w:rPr>
                <w:rFonts w:ascii="Verdana" w:hAnsi="Verdana"/>
                <w:sz w:val="20"/>
                <w:szCs w:val="20"/>
              </w:rPr>
            </w:pPr>
          </w:p>
        </w:tc>
      </w:tr>
    </w:tbl>
    <w:p w14:paraId="07634989" w14:textId="77777777" w:rsidR="00A72CD6" w:rsidRDefault="00A72CD6" w:rsidP="00A72CD6">
      <w:pPr>
        <w:rPr>
          <w:rFonts w:ascii="Verdana" w:hAnsi="Verdana"/>
          <w:b/>
          <w:sz w:val="18"/>
          <w:szCs w:val="18"/>
        </w:rPr>
      </w:pPr>
    </w:p>
    <w:p w14:paraId="0708B28A" w14:textId="77777777" w:rsidR="00A72CD6" w:rsidRDefault="00A72CD6" w:rsidP="00A72CD6">
      <w:pPr>
        <w:rPr>
          <w:rFonts w:ascii="Verdana" w:hAnsi="Verdana"/>
          <w:b/>
          <w:sz w:val="18"/>
          <w:szCs w:val="18"/>
        </w:rPr>
      </w:pPr>
    </w:p>
    <w:p w14:paraId="73B5FA39" w14:textId="77777777" w:rsidR="00A72CD6" w:rsidRDefault="00A72CD6" w:rsidP="00A72CD6">
      <w:pPr>
        <w:rPr>
          <w:rFonts w:ascii="Verdana" w:hAnsi="Verdana"/>
          <w:b/>
          <w:sz w:val="18"/>
          <w:szCs w:val="18"/>
        </w:rPr>
      </w:pPr>
    </w:p>
    <w:p w14:paraId="274D4F59" w14:textId="77777777" w:rsidR="00776A48" w:rsidRDefault="00776A48" w:rsidP="00A72CD6">
      <w:pPr>
        <w:rPr>
          <w:rFonts w:ascii="Verdana" w:hAnsi="Verdana"/>
          <w:b/>
          <w:sz w:val="18"/>
          <w:szCs w:val="18"/>
        </w:rPr>
      </w:pPr>
    </w:p>
    <w:p w14:paraId="5BE9DFDF" w14:textId="77777777" w:rsidR="008E5406" w:rsidRDefault="008E5406" w:rsidP="00A72CD6">
      <w:pPr>
        <w:rPr>
          <w:rFonts w:ascii="Verdana" w:hAnsi="Verdana"/>
          <w:b/>
          <w:sz w:val="18"/>
          <w:szCs w:val="18"/>
        </w:rPr>
      </w:pPr>
    </w:p>
    <w:p w14:paraId="363E6659" w14:textId="77777777" w:rsidR="008E5406" w:rsidRDefault="00A72CD6" w:rsidP="00A72CD6">
      <w:pPr>
        <w:jc w:val="center"/>
        <w:rPr>
          <w:b/>
          <w:sz w:val="28"/>
          <w:szCs w:val="28"/>
        </w:rPr>
      </w:pPr>
      <w:r w:rsidRPr="008E5406">
        <w:rPr>
          <w:b/>
          <w:sz w:val="28"/>
          <w:szCs w:val="28"/>
        </w:rPr>
        <w:t xml:space="preserve">Institution Plan for </w:t>
      </w:r>
      <w:r w:rsidR="008E5406" w:rsidRPr="008E5406">
        <w:rPr>
          <w:b/>
          <w:sz w:val="28"/>
          <w:szCs w:val="28"/>
        </w:rPr>
        <w:t>Granting an Equivalency</w:t>
      </w:r>
    </w:p>
    <w:p w14:paraId="12E9333C" w14:textId="77777777" w:rsidR="00A72CD6" w:rsidRPr="008E5406" w:rsidRDefault="008E5406" w:rsidP="00A72CD6">
      <w:pPr>
        <w:jc w:val="center"/>
        <w:rPr>
          <w:b/>
          <w:sz w:val="28"/>
          <w:szCs w:val="28"/>
        </w:rPr>
      </w:pPr>
      <w:r w:rsidRPr="008E5406">
        <w:rPr>
          <w:b/>
          <w:sz w:val="28"/>
          <w:szCs w:val="28"/>
        </w:rPr>
        <w:t xml:space="preserve"> for</w:t>
      </w:r>
      <w:r w:rsidR="00A72CD6" w:rsidRPr="008E5406">
        <w:rPr>
          <w:b/>
          <w:sz w:val="28"/>
          <w:szCs w:val="28"/>
        </w:rPr>
        <w:t xml:space="preserve"> </w:t>
      </w:r>
      <w:r w:rsidRPr="008E5406">
        <w:rPr>
          <w:b/>
          <w:sz w:val="28"/>
          <w:szCs w:val="28"/>
        </w:rPr>
        <w:t xml:space="preserve">Passage of </w:t>
      </w:r>
      <w:proofErr w:type="gramStart"/>
      <w:r w:rsidRPr="008E5406">
        <w:rPr>
          <w:b/>
          <w:sz w:val="28"/>
          <w:szCs w:val="28"/>
        </w:rPr>
        <w:t>CSET:LOTE</w:t>
      </w:r>
      <w:proofErr w:type="gramEnd"/>
      <w:r w:rsidRPr="008E5406">
        <w:rPr>
          <w:b/>
          <w:sz w:val="28"/>
          <w:szCs w:val="28"/>
        </w:rPr>
        <w:t xml:space="preserve"> Subtests</w:t>
      </w:r>
      <w:r w:rsidR="00A72CD6" w:rsidRPr="008E5406">
        <w:rPr>
          <w:b/>
          <w:sz w:val="28"/>
          <w:szCs w:val="28"/>
        </w:rPr>
        <w:t xml:space="preserve"> </w:t>
      </w:r>
    </w:p>
    <w:p w14:paraId="175F428A" w14:textId="77777777" w:rsidR="008E5406" w:rsidRDefault="008E5406" w:rsidP="00A72CD6">
      <w:pPr>
        <w:rPr>
          <w:rFonts w:ascii="Verdana" w:hAnsi="Verdana"/>
          <w:sz w:val="18"/>
          <w:szCs w:val="18"/>
        </w:rPr>
      </w:pPr>
    </w:p>
    <w:p w14:paraId="3C887562" w14:textId="77777777" w:rsidR="00A72CD6" w:rsidRPr="001901F5" w:rsidRDefault="00A72CD6" w:rsidP="00A72CD6">
      <w:pPr>
        <w:rPr>
          <w:rFonts w:ascii="Verdana" w:hAnsi="Verdana"/>
          <w:sz w:val="18"/>
          <w:szCs w:val="18"/>
        </w:rPr>
      </w:pPr>
      <w:r w:rsidRPr="001901F5">
        <w:rPr>
          <w:rFonts w:ascii="Verdana" w:hAnsi="Verdana"/>
          <w:sz w:val="18"/>
          <w:szCs w:val="18"/>
        </w:rPr>
        <w:t xml:space="preserve">If a candidate has passed the following CSET: LOTE Subtest, then the courses indicated </w:t>
      </w:r>
      <w:r>
        <w:rPr>
          <w:rFonts w:ascii="Verdana" w:hAnsi="Verdana"/>
          <w:sz w:val="18"/>
          <w:szCs w:val="18"/>
        </w:rPr>
        <w:t xml:space="preserve">will </w:t>
      </w:r>
      <w:r w:rsidRPr="001901F5">
        <w:rPr>
          <w:rFonts w:ascii="Verdana" w:hAnsi="Verdana"/>
          <w:sz w:val="18"/>
          <w:szCs w:val="18"/>
        </w:rPr>
        <w:t xml:space="preserve">be </w:t>
      </w:r>
      <w:proofErr w:type="gramStart"/>
      <w:r w:rsidRPr="001901F5">
        <w:rPr>
          <w:rFonts w:ascii="Verdana" w:hAnsi="Verdana"/>
          <w:sz w:val="18"/>
          <w:szCs w:val="18"/>
        </w:rPr>
        <w:t>waived</w:t>
      </w:r>
      <w:proofErr w:type="gramEnd"/>
    </w:p>
    <w:p w14:paraId="5A0C14DB" w14:textId="77777777" w:rsidR="00A72CD6" w:rsidRDefault="00A72CD6" w:rsidP="00A72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65"/>
      </w:tblGrid>
      <w:tr w:rsidR="00A72CD6" w:rsidRPr="009F1F9A" w14:paraId="322443FE" w14:textId="77777777" w:rsidTr="009F1F9A">
        <w:tc>
          <w:tcPr>
            <w:tcW w:w="4788" w:type="dxa"/>
          </w:tcPr>
          <w:p w14:paraId="1C88F0C0" w14:textId="77777777" w:rsidR="00A72CD6" w:rsidRPr="009F1F9A" w:rsidRDefault="00A72CD6" w:rsidP="009F1F9A">
            <w:pPr>
              <w:spacing w:before="60" w:after="40"/>
              <w:jc w:val="center"/>
              <w:rPr>
                <w:rFonts w:ascii="Verdana" w:hAnsi="Verdana"/>
                <w:b/>
                <w:sz w:val="20"/>
                <w:szCs w:val="20"/>
              </w:rPr>
            </w:pPr>
            <w:proofErr w:type="gramStart"/>
            <w:r w:rsidRPr="009F1F9A">
              <w:rPr>
                <w:rFonts w:ascii="Verdana" w:hAnsi="Verdana"/>
                <w:b/>
                <w:sz w:val="20"/>
                <w:szCs w:val="20"/>
              </w:rPr>
              <w:t>CSET:LOTE</w:t>
            </w:r>
            <w:proofErr w:type="gramEnd"/>
            <w:r w:rsidRPr="009F1F9A">
              <w:rPr>
                <w:rFonts w:ascii="Verdana" w:hAnsi="Verdana"/>
                <w:b/>
                <w:sz w:val="20"/>
                <w:szCs w:val="20"/>
              </w:rPr>
              <w:t xml:space="preserve"> Subtest Passed</w:t>
            </w:r>
          </w:p>
        </w:tc>
        <w:tc>
          <w:tcPr>
            <w:tcW w:w="4788" w:type="dxa"/>
          </w:tcPr>
          <w:p w14:paraId="4C88AB66" w14:textId="77777777" w:rsidR="00A72CD6" w:rsidRPr="009F1F9A" w:rsidRDefault="00A72CD6" w:rsidP="009F1F9A">
            <w:pPr>
              <w:spacing w:before="60" w:after="40"/>
              <w:jc w:val="center"/>
              <w:rPr>
                <w:rFonts w:ascii="Verdana" w:hAnsi="Verdana"/>
                <w:b/>
                <w:sz w:val="20"/>
                <w:szCs w:val="20"/>
              </w:rPr>
            </w:pPr>
            <w:r w:rsidRPr="009F1F9A">
              <w:rPr>
                <w:rFonts w:ascii="Verdana" w:hAnsi="Verdana"/>
                <w:b/>
                <w:sz w:val="20"/>
                <w:szCs w:val="20"/>
              </w:rPr>
              <w:t>Course(s) that may be waived</w:t>
            </w:r>
          </w:p>
        </w:tc>
      </w:tr>
      <w:tr w:rsidR="00A72CD6" w:rsidRPr="009F1F9A" w14:paraId="0C7532C1" w14:textId="77777777" w:rsidTr="009F1F9A">
        <w:tc>
          <w:tcPr>
            <w:tcW w:w="4788" w:type="dxa"/>
          </w:tcPr>
          <w:p w14:paraId="34513C3E" w14:textId="77777777" w:rsidR="00A72CD6" w:rsidRPr="009F1F9A" w:rsidRDefault="00A72CD6" w:rsidP="009F1F9A">
            <w:pPr>
              <w:spacing w:before="120" w:after="120"/>
              <w:rPr>
                <w:rFonts w:ascii="Verdana" w:hAnsi="Verdana"/>
                <w:sz w:val="20"/>
                <w:szCs w:val="20"/>
              </w:rPr>
            </w:pPr>
            <w:r w:rsidRPr="009F1F9A">
              <w:rPr>
                <w:rFonts w:ascii="Verdana" w:hAnsi="Verdana"/>
                <w:sz w:val="20"/>
                <w:szCs w:val="20"/>
              </w:rPr>
              <w:t xml:space="preserve">III: </w:t>
            </w:r>
            <w:r w:rsidRPr="009F1F9A">
              <w:rPr>
                <w:rFonts w:ascii="Verdana" w:hAnsi="Verdana" w:cs="TimesNewRoman,Bold"/>
                <w:bCs/>
                <w:sz w:val="20"/>
                <w:szCs w:val="20"/>
              </w:rPr>
              <w:t>Content Domains</w:t>
            </w:r>
            <w:r w:rsidRPr="009F1F9A">
              <w:rPr>
                <w:rFonts w:ascii="Verdana" w:hAnsi="Verdana"/>
                <w:sz w:val="20"/>
                <w:szCs w:val="20"/>
              </w:rPr>
              <w:t xml:space="preserve"> for Subject Matter Understanding and Skill in Languages Other than English</w:t>
            </w:r>
          </w:p>
        </w:tc>
        <w:tc>
          <w:tcPr>
            <w:tcW w:w="4788" w:type="dxa"/>
          </w:tcPr>
          <w:p w14:paraId="2B80EF9D" w14:textId="77777777" w:rsidR="00A72CD6" w:rsidRPr="009F1F9A" w:rsidRDefault="00A72CD6" w:rsidP="009F1F9A">
            <w:pPr>
              <w:spacing w:before="120" w:after="120"/>
              <w:jc w:val="center"/>
              <w:rPr>
                <w:rFonts w:ascii="Verdana" w:hAnsi="Verdana"/>
                <w:b/>
                <w:sz w:val="18"/>
                <w:szCs w:val="18"/>
              </w:rPr>
            </w:pPr>
          </w:p>
        </w:tc>
      </w:tr>
      <w:tr w:rsidR="00A72CD6" w:rsidRPr="009F1F9A" w14:paraId="35258BEF" w14:textId="77777777" w:rsidTr="009F1F9A">
        <w:tc>
          <w:tcPr>
            <w:tcW w:w="4788" w:type="dxa"/>
          </w:tcPr>
          <w:p w14:paraId="0728CBFE" w14:textId="77777777" w:rsidR="00A72CD6" w:rsidRPr="009F1F9A" w:rsidRDefault="00A72CD6" w:rsidP="009F1F9A">
            <w:pPr>
              <w:spacing w:before="120" w:after="120"/>
              <w:rPr>
                <w:rFonts w:ascii="Verdana" w:hAnsi="Verdana"/>
                <w:sz w:val="20"/>
                <w:szCs w:val="20"/>
              </w:rPr>
            </w:pPr>
            <w:r w:rsidRPr="009F1F9A">
              <w:rPr>
                <w:rFonts w:ascii="Verdana" w:hAnsi="Verdana"/>
                <w:sz w:val="20"/>
                <w:szCs w:val="20"/>
              </w:rPr>
              <w:t>IV: Bilingual Education and Bilingualism; Intercultural Communication; Instruction and Assessment</w:t>
            </w:r>
          </w:p>
        </w:tc>
        <w:tc>
          <w:tcPr>
            <w:tcW w:w="4788" w:type="dxa"/>
          </w:tcPr>
          <w:p w14:paraId="43267364" w14:textId="77777777" w:rsidR="00A72CD6" w:rsidRPr="009F1F9A" w:rsidRDefault="00A72CD6" w:rsidP="009F1F9A">
            <w:pPr>
              <w:spacing w:before="120" w:after="120"/>
              <w:jc w:val="center"/>
              <w:rPr>
                <w:rFonts w:ascii="Verdana" w:hAnsi="Verdana"/>
                <w:b/>
                <w:sz w:val="18"/>
                <w:szCs w:val="18"/>
              </w:rPr>
            </w:pPr>
          </w:p>
        </w:tc>
      </w:tr>
      <w:tr w:rsidR="00A72CD6" w:rsidRPr="009F1F9A" w14:paraId="5A93D6E1" w14:textId="77777777" w:rsidTr="009F1F9A">
        <w:tc>
          <w:tcPr>
            <w:tcW w:w="4788" w:type="dxa"/>
          </w:tcPr>
          <w:p w14:paraId="7C762A09" w14:textId="77777777" w:rsidR="00A72CD6" w:rsidRPr="009F1F9A" w:rsidRDefault="00A72CD6" w:rsidP="009F1F9A">
            <w:pPr>
              <w:spacing w:before="120" w:after="120"/>
              <w:rPr>
                <w:rFonts w:ascii="Verdana" w:hAnsi="Verdana"/>
                <w:sz w:val="20"/>
                <w:szCs w:val="20"/>
              </w:rPr>
            </w:pPr>
            <w:r w:rsidRPr="009F1F9A">
              <w:rPr>
                <w:rFonts w:ascii="Verdana" w:hAnsi="Verdana"/>
                <w:sz w:val="20"/>
                <w:szCs w:val="20"/>
              </w:rPr>
              <w:t xml:space="preserve">V: </w:t>
            </w:r>
            <w:r w:rsidRPr="009F1F9A">
              <w:rPr>
                <w:rFonts w:ascii="Verdana" w:hAnsi="Verdana" w:cs="Arial,Bold"/>
                <w:bCs/>
                <w:sz w:val="20"/>
                <w:szCs w:val="20"/>
              </w:rPr>
              <w:t xml:space="preserve">Geographic and Historical Contexts; Sociopolitical and </w:t>
            </w:r>
            <w:r w:rsidRPr="009F1F9A">
              <w:rPr>
                <w:rFonts w:ascii="Verdana" w:hAnsi="Verdana" w:cs="TimesNewRoman,Bold"/>
                <w:bCs/>
                <w:sz w:val="20"/>
                <w:szCs w:val="20"/>
              </w:rPr>
              <w:t>Sociocultural Contexts</w:t>
            </w:r>
          </w:p>
        </w:tc>
        <w:tc>
          <w:tcPr>
            <w:tcW w:w="4788" w:type="dxa"/>
          </w:tcPr>
          <w:p w14:paraId="5C378FC8" w14:textId="77777777" w:rsidR="00A72CD6" w:rsidRPr="009F1F9A" w:rsidRDefault="00A72CD6" w:rsidP="009F1F9A">
            <w:pPr>
              <w:spacing w:before="120" w:after="120"/>
              <w:jc w:val="center"/>
              <w:rPr>
                <w:rFonts w:ascii="Verdana" w:hAnsi="Verdana"/>
                <w:b/>
                <w:sz w:val="18"/>
                <w:szCs w:val="18"/>
              </w:rPr>
            </w:pPr>
          </w:p>
        </w:tc>
      </w:tr>
    </w:tbl>
    <w:p w14:paraId="74A74CCD" w14:textId="77777777" w:rsidR="00A72CD6" w:rsidRDefault="00A72CD6" w:rsidP="00A72CD6">
      <w:pPr>
        <w:ind w:firstLine="720"/>
      </w:pPr>
    </w:p>
    <w:p w14:paraId="513A5739" w14:textId="77777777" w:rsidR="00A72CD6" w:rsidRDefault="00A72CD6" w:rsidP="0093735A">
      <w:pPr>
        <w:autoSpaceDE w:val="0"/>
        <w:autoSpaceDN w:val="0"/>
        <w:adjustRightInd w:val="0"/>
      </w:pPr>
    </w:p>
    <w:sectPr w:rsidR="00A72CD6" w:rsidSect="00A72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D57D" w14:textId="77777777" w:rsidR="00AB2761" w:rsidRDefault="00AB2761">
      <w:r>
        <w:separator/>
      </w:r>
    </w:p>
  </w:endnote>
  <w:endnote w:type="continuationSeparator" w:id="0">
    <w:p w14:paraId="0F61CD14" w14:textId="77777777" w:rsidR="00AB2761" w:rsidRDefault="00AB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195D" w14:textId="77777777" w:rsidR="005E21C7" w:rsidRDefault="005E21C7" w:rsidP="00940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68BA82" w14:textId="77777777" w:rsidR="005E21C7" w:rsidRDefault="005E2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933" w14:textId="0056F8CB" w:rsidR="003507BB" w:rsidRPr="001A05AE" w:rsidRDefault="003507BB" w:rsidP="00A72CD6">
    <w:pPr>
      <w:pStyle w:val="Footer"/>
      <w:pBdr>
        <w:top w:val="single" w:sz="4" w:space="1" w:color="auto"/>
      </w:pBdr>
      <w:jc w:val="center"/>
      <w:rPr>
        <w:sz w:val="20"/>
        <w:szCs w:val="20"/>
      </w:rPr>
    </w:pPr>
    <w:r>
      <w:rPr>
        <w:i/>
        <w:sz w:val="20"/>
        <w:szCs w:val="20"/>
      </w:rPr>
      <w:t>Bilingual Authorization</w:t>
    </w:r>
    <w:r>
      <w:t xml:space="preserve"> </w:t>
    </w:r>
    <w:r w:rsidRPr="007533FE">
      <w:rPr>
        <w:i/>
        <w:sz w:val="20"/>
        <w:szCs w:val="20"/>
      </w:rPr>
      <w:t>Programs</w:t>
    </w:r>
    <w:r>
      <w:tab/>
    </w:r>
    <w:r w:rsidRPr="001A05AE">
      <w:rPr>
        <w:position w:val="-6"/>
      </w:rPr>
      <w:fldChar w:fldCharType="begin"/>
    </w:r>
    <w:r w:rsidRPr="001A05AE">
      <w:rPr>
        <w:position w:val="-6"/>
      </w:rPr>
      <w:instrText xml:space="preserve"> PAGE </w:instrText>
    </w:r>
    <w:r w:rsidRPr="001A05AE">
      <w:rPr>
        <w:position w:val="-6"/>
      </w:rPr>
      <w:fldChar w:fldCharType="separate"/>
    </w:r>
    <w:r>
      <w:rPr>
        <w:noProof/>
        <w:position w:val="-6"/>
      </w:rPr>
      <w:t>4</w:t>
    </w:r>
    <w:r w:rsidRPr="001A05AE">
      <w:rPr>
        <w:position w:val="-6"/>
      </w:rPr>
      <w:fldChar w:fldCharType="end"/>
    </w:r>
    <w:r>
      <w:rPr>
        <w:position w:val="-6"/>
      </w:rPr>
      <w:t xml:space="preserve">  </w:t>
    </w:r>
    <w:r>
      <w:tab/>
    </w:r>
    <w:r w:rsidR="00FB1F89">
      <w:rPr>
        <w:noProof/>
      </w:rPr>
      <w:drawing>
        <wp:inline distT="0" distB="0" distL="0" distR="0" wp14:anchorId="361E35AF" wp14:editId="2353820B">
          <wp:extent cx="457200" cy="352425"/>
          <wp:effectExtent l="0" t="0" r="0" b="0"/>
          <wp:docPr id="259727760" name="Picture 259727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EF77" w14:textId="6D34025C" w:rsidR="003507BB" w:rsidRPr="00FD7AA8" w:rsidRDefault="003507BB" w:rsidP="00A72CD6">
    <w:pPr>
      <w:pStyle w:val="Footer"/>
      <w:pBdr>
        <w:top w:val="single" w:sz="4" w:space="1" w:color="auto"/>
      </w:pBdr>
      <w:tabs>
        <w:tab w:val="clear" w:pos="4320"/>
        <w:tab w:val="center" w:pos="5040"/>
      </w:tabs>
    </w:pPr>
    <w:r>
      <w:rPr>
        <w:i/>
        <w:sz w:val="20"/>
        <w:szCs w:val="20"/>
      </w:rPr>
      <w:t>Bilingual Authorization Programs</w:t>
    </w:r>
    <w:r>
      <w:rPr>
        <w:rStyle w:val="PageNumber"/>
      </w:rPr>
      <w:tab/>
    </w:r>
    <w:r w:rsidRPr="00A04175">
      <w:rPr>
        <w:rStyle w:val="PageNumber"/>
        <w:sz w:val="20"/>
        <w:szCs w:val="20"/>
      </w:rPr>
      <w:fldChar w:fldCharType="begin"/>
    </w:r>
    <w:r w:rsidRPr="00A04175">
      <w:rPr>
        <w:rStyle w:val="PageNumber"/>
        <w:sz w:val="20"/>
        <w:szCs w:val="20"/>
      </w:rPr>
      <w:instrText xml:space="preserve"> PAGE </w:instrText>
    </w:r>
    <w:r w:rsidRPr="00A04175">
      <w:rPr>
        <w:rStyle w:val="PageNumber"/>
        <w:sz w:val="20"/>
        <w:szCs w:val="20"/>
      </w:rPr>
      <w:fldChar w:fldCharType="separate"/>
    </w:r>
    <w:r w:rsidR="00441A38">
      <w:rPr>
        <w:rStyle w:val="PageNumber"/>
        <w:noProof/>
        <w:sz w:val="20"/>
        <w:szCs w:val="20"/>
      </w:rPr>
      <w:t>1</w:t>
    </w:r>
    <w:r w:rsidRPr="00A04175">
      <w:rPr>
        <w:rStyle w:val="PageNumber"/>
        <w:sz w:val="20"/>
        <w:szCs w:val="20"/>
      </w:rPr>
      <w:fldChar w:fldCharType="end"/>
    </w:r>
    <w:r>
      <w:rPr>
        <w:rStyle w:val="PageNumber"/>
      </w:rPr>
      <w:tab/>
    </w:r>
    <w:r w:rsidR="00FB1F89">
      <w:rPr>
        <w:noProof/>
      </w:rPr>
      <w:drawing>
        <wp:inline distT="0" distB="0" distL="0" distR="0" wp14:anchorId="3FFE5550" wp14:editId="7640CAA5">
          <wp:extent cx="457200" cy="352425"/>
          <wp:effectExtent l="0" t="0" r="0" b="0"/>
          <wp:docPr id="333592137" name="Picture 333592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0037" w14:textId="77777777" w:rsidR="00AB2761" w:rsidRDefault="00AB2761">
      <w:r>
        <w:separator/>
      </w:r>
    </w:p>
  </w:footnote>
  <w:footnote w:type="continuationSeparator" w:id="0">
    <w:p w14:paraId="5BBBB18B" w14:textId="77777777" w:rsidR="00AB2761" w:rsidRDefault="00AB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785C" w14:textId="77777777" w:rsidR="003507BB" w:rsidRDefault="003507BB">
    <w:pPr>
      <w:pStyle w:val="Header"/>
      <w:jc w:val="center"/>
      <w:rPr>
        <w:b/>
        <w:sz w:val="22"/>
      </w:rPr>
    </w:pPr>
  </w:p>
  <w:p w14:paraId="60D80277" w14:textId="77777777" w:rsidR="003507BB" w:rsidRDefault="003507BB">
    <w:pPr>
      <w:pStyle w:val="Header"/>
      <w:jc w:val="center"/>
      <w:rPr>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281" w14:textId="77777777" w:rsidR="005E21C7" w:rsidRPr="00C42784" w:rsidRDefault="005E21C7" w:rsidP="00A72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BF4443"/>
    <w:multiLevelType w:val="hybridMultilevel"/>
    <w:tmpl w:val="92F2BB36"/>
    <w:lvl w:ilvl="0" w:tplc="4DBA35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245FA"/>
    <w:multiLevelType w:val="hybridMultilevel"/>
    <w:tmpl w:val="5FB290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373FC"/>
    <w:multiLevelType w:val="hybridMultilevel"/>
    <w:tmpl w:val="AD40E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34296E"/>
    <w:multiLevelType w:val="hybridMultilevel"/>
    <w:tmpl w:val="7C3EB698"/>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23C6C"/>
    <w:multiLevelType w:val="hybridMultilevel"/>
    <w:tmpl w:val="99B8CF3C"/>
    <w:lvl w:ilvl="0" w:tplc="728A7F20">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F12E2"/>
    <w:multiLevelType w:val="multilevel"/>
    <w:tmpl w:val="414C536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3297C"/>
    <w:multiLevelType w:val="hybridMultilevel"/>
    <w:tmpl w:val="500C4C0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9E4233"/>
    <w:multiLevelType w:val="hybridMultilevel"/>
    <w:tmpl w:val="DD20A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44403"/>
    <w:multiLevelType w:val="multilevel"/>
    <w:tmpl w:val="C95C84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4035AB"/>
    <w:multiLevelType w:val="hybridMultilevel"/>
    <w:tmpl w:val="5E184F3E"/>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30A95"/>
    <w:multiLevelType w:val="multilevel"/>
    <w:tmpl w:val="37565B6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1604CF"/>
    <w:multiLevelType w:val="hybridMultilevel"/>
    <w:tmpl w:val="6E287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479F"/>
    <w:multiLevelType w:val="multilevel"/>
    <w:tmpl w:val="A4B2B55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523578"/>
    <w:multiLevelType w:val="hybridMultilevel"/>
    <w:tmpl w:val="E88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F71F6"/>
    <w:multiLevelType w:val="hybridMultilevel"/>
    <w:tmpl w:val="AB186194"/>
    <w:lvl w:ilvl="0" w:tplc="B6E607A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D85316"/>
    <w:multiLevelType w:val="multilevel"/>
    <w:tmpl w:val="D778B6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16230F"/>
    <w:multiLevelType w:val="hybridMultilevel"/>
    <w:tmpl w:val="436CD2AC"/>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B4A59"/>
    <w:multiLevelType w:val="hybridMultilevel"/>
    <w:tmpl w:val="E38C1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766D7A"/>
    <w:multiLevelType w:val="hybridMultilevel"/>
    <w:tmpl w:val="4AC60782"/>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151614"/>
    <w:multiLevelType w:val="hybridMultilevel"/>
    <w:tmpl w:val="2626FDC4"/>
    <w:lvl w:ilvl="0" w:tplc="B6E607A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2A34DA"/>
    <w:multiLevelType w:val="hybridMultilevel"/>
    <w:tmpl w:val="792CFC1E"/>
    <w:lvl w:ilvl="0" w:tplc="B6E607A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0977784">
    <w:abstractNumId w:val="6"/>
  </w:num>
  <w:num w:numId="2" w16cid:durableId="86383042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859010195">
    <w:abstractNumId w:val="4"/>
  </w:num>
  <w:num w:numId="4" w16cid:durableId="1821580221">
    <w:abstractNumId w:val="1"/>
  </w:num>
  <w:num w:numId="5" w16cid:durableId="1697386555">
    <w:abstractNumId w:val="2"/>
  </w:num>
  <w:num w:numId="6" w16cid:durableId="1607689041">
    <w:abstractNumId w:val="3"/>
  </w:num>
  <w:num w:numId="7" w16cid:durableId="1974870233">
    <w:abstractNumId w:val="18"/>
  </w:num>
  <w:num w:numId="8" w16cid:durableId="1731884623">
    <w:abstractNumId w:val="11"/>
  </w:num>
  <w:num w:numId="9" w16cid:durableId="184833259">
    <w:abstractNumId w:val="22"/>
  </w:num>
  <w:num w:numId="10" w16cid:durableId="2131245249">
    <w:abstractNumId w:val="16"/>
  </w:num>
  <w:num w:numId="11" w16cid:durableId="2118017555">
    <w:abstractNumId w:val="7"/>
  </w:num>
  <w:num w:numId="12" w16cid:durableId="1290816925">
    <w:abstractNumId w:val="5"/>
  </w:num>
  <w:num w:numId="13" w16cid:durableId="1260599956">
    <w:abstractNumId w:val="12"/>
  </w:num>
  <w:num w:numId="14" w16cid:durableId="259872999">
    <w:abstractNumId w:val="19"/>
  </w:num>
  <w:num w:numId="15" w16cid:durableId="1527671017">
    <w:abstractNumId w:val="21"/>
  </w:num>
  <w:num w:numId="16" w16cid:durableId="2133479860">
    <w:abstractNumId w:val="25"/>
  </w:num>
  <w:num w:numId="17" w16cid:durableId="893586975">
    <w:abstractNumId w:val="14"/>
  </w:num>
  <w:num w:numId="18" w16cid:durableId="1622761773">
    <w:abstractNumId w:val="8"/>
  </w:num>
  <w:num w:numId="19" w16cid:durableId="1060716453">
    <w:abstractNumId w:val="23"/>
  </w:num>
  <w:num w:numId="20" w16cid:durableId="1432581798">
    <w:abstractNumId w:val="24"/>
  </w:num>
  <w:num w:numId="21" w16cid:durableId="381252245">
    <w:abstractNumId w:val="9"/>
  </w:num>
  <w:num w:numId="22" w16cid:durableId="167527041">
    <w:abstractNumId w:val="13"/>
  </w:num>
  <w:num w:numId="23" w16cid:durableId="441848129">
    <w:abstractNumId w:val="20"/>
  </w:num>
  <w:num w:numId="24" w16cid:durableId="620765031">
    <w:abstractNumId w:val="15"/>
  </w:num>
  <w:num w:numId="25" w16cid:durableId="1739084757">
    <w:abstractNumId w:val="17"/>
  </w:num>
  <w:num w:numId="26" w16cid:durableId="1207335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0F"/>
    <w:rsid w:val="00010859"/>
    <w:rsid w:val="000156A6"/>
    <w:rsid w:val="0002059C"/>
    <w:rsid w:val="00025452"/>
    <w:rsid w:val="0002591A"/>
    <w:rsid w:val="000405AF"/>
    <w:rsid w:val="00040A92"/>
    <w:rsid w:val="00044591"/>
    <w:rsid w:val="000557DC"/>
    <w:rsid w:val="0006180A"/>
    <w:rsid w:val="00070287"/>
    <w:rsid w:val="000725B6"/>
    <w:rsid w:val="0007362E"/>
    <w:rsid w:val="000833F1"/>
    <w:rsid w:val="00085BC5"/>
    <w:rsid w:val="00090281"/>
    <w:rsid w:val="000B42BE"/>
    <w:rsid w:val="000B6372"/>
    <w:rsid w:val="000D1688"/>
    <w:rsid w:val="000E2E41"/>
    <w:rsid w:val="000E3B39"/>
    <w:rsid w:val="000F0995"/>
    <w:rsid w:val="000F7788"/>
    <w:rsid w:val="000F7B60"/>
    <w:rsid w:val="00107EBE"/>
    <w:rsid w:val="00140FF4"/>
    <w:rsid w:val="00143036"/>
    <w:rsid w:val="00147782"/>
    <w:rsid w:val="00161D7E"/>
    <w:rsid w:val="0017071C"/>
    <w:rsid w:val="00175240"/>
    <w:rsid w:val="001757A0"/>
    <w:rsid w:val="00191A82"/>
    <w:rsid w:val="00195571"/>
    <w:rsid w:val="001A52A6"/>
    <w:rsid w:val="001B6EF8"/>
    <w:rsid w:val="001C422D"/>
    <w:rsid w:val="001C7DC5"/>
    <w:rsid w:val="001D2AA1"/>
    <w:rsid w:val="001E3416"/>
    <w:rsid w:val="001F0AD2"/>
    <w:rsid w:val="001F7FEC"/>
    <w:rsid w:val="00205107"/>
    <w:rsid w:val="002062BE"/>
    <w:rsid w:val="00206A04"/>
    <w:rsid w:val="00215566"/>
    <w:rsid w:val="00216AF1"/>
    <w:rsid w:val="00221DEF"/>
    <w:rsid w:val="0022763A"/>
    <w:rsid w:val="0024180F"/>
    <w:rsid w:val="00242AD0"/>
    <w:rsid w:val="002458F2"/>
    <w:rsid w:val="00251A71"/>
    <w:rsid w:val="00257080"/>
    <w:rsid w:val="002655F5"/>
    <w:rsid w:val="002714D5"/>
    <w:rsid w:val="00294966"/>
    <w:rsid w:val="002A3F91"/>
    <w:rsid w:val="002A79DC"/>
    <w:rsid w:val="002D4BA2"/>
    <w:rsid w:val="002E3325"/>
    <w:rsid w:val="002F05D7"/>
    <w:rsid w:val="002F30EB"/>
    <w:rsid w:val="002F57D2"/>
    <w:rsid w:val="00302A4B"/>
    <w:rsid w:val="003065CB"/>
    <w:rsid w:val="00307369"/>
    <w:rsid w:val="003176FE"/>
    <w:rsid w:val="003344AD"/>
    <w:rsid w:val="00335EEC"/>
    <w:rsid w:val="00346904"/>
    <w:rsid w:val="003507BB"/>
    <w:rsid w:val="00365300"/>
    <w:rsid w:val="00372828"/>
    <w:rsid w:val="00374276"/>
    <w:rsid w:val="00397671"/>
    <w:rsid w:val="003A1541"/>
    <w:rsid w:val="003B06D1"/>
    <w:rsid w:val="003B6A41"/>
    <w:rsid w:val="003C4D4B"/>
    <w:rsid w:val="003D16D8"/>
    <w:rsid w:val="003E56FC"/>
    <w:rsid w:val="003E76E4"/>
    <w:rsid w:val="00404390"/>
    <w:rsid w:val="00406113"/>
    <w:rsid w:val="004175CC"/>
    <w:rsid w:val="004410A7"/>
    <w:rsid w:val="00441739"/>
    <w:rsid w:val="00441A38"/>
    <w:rsid w:val="00450939"/>
    <w:rsid w:val="00451E2A"/>
    <w:rsid w:val="00464B6A"/>
    <w:rsid w:val="00486C14"/>
    <w:rsid w:val="00493C54"/>
    <w:rsid w:val="004A09D7"/>
    <w:rsid w:val="004A5EB2"/>
    <w:rsid w:val="004D2E0D"/>
    <w:rsid w:val="004D45F0"/>
    <w:rsid w:val="004E27BA"/>
    <w:rsid w:val="004F25CD"/>
    <w:rsid w:val="004F6882"/>
    <w:rsid w:val="00503108"/>
    <w:rsid w:val="00505FF7"/>
    <w:rsid w:val="00515C52"/>
    <w:rsid w:val="00532278"/>
    <w:rsid w:val="0053474E"/>
    <w:rsid w:val="00544AF0"/>
    <w:rsid w:val="00552F2E"/>
    <w:rsid w:val="005577AD"/>
    <w:rsid w:val="0056079E"/>
    <w:rsid w:val="0056611C"/>
    <w:rsid w:val="0057273B"/>
    <w:rsid w:val="0058370D"/>
    <w:rsid w:val="00587797"/>
    <w:rsid w:val="00595268"/>
    <w:rsid w:val="00596C6F"/>
    <w:rsid w:val="005C5C0D"/>
    <w:rsid w:val="005D1A9B"/>
    <w:rsid w:val="005D62F0"/>
    <w:rsid w:val="005E21C7"/>
    <w:rsid w:val="00616444"/>
    <w:rsid w:val="00621576"/>
    <w:rsid w:val="006359CB"/>
    <w:rsid w:val="006442AB"/>
    <w:rsid w:val="0065103E"/>
    <w:rsid w:val="00652E55"/>
    <w:rsid w:val="00676F57"/>
    <w:rsid w:val="006961A6"/>
    <w:rsid w:val="006A536C"/>
    <w:rsid w:val="006A5CA1"/>
    <w:rsid w:val="006B1367"/>
    <w:rsid w:val="006B1AFD"/>
    <w:rsid w:val="006B4604"/>
    <w:rsid w:val="006B54E2"/>
    <w:rsid w:val="006B64AD"/>
    <w:rsid w:val="006D0546"/>
    <w:rsid w:val="006D45EA"/>
    <w:rsid w:val="006D6A80"/>
    <w:rsid w:val="006E58EE"/>
    <w:rsid w:val="006E5993"/>
    <w:rsid w:val="006E5E03"/>
    <w:rsid w:val="006F27EB"/>
    <w:rsid w:val="00702E68"/>
    <w:rsid w:val="0071658C"/>
    <w:rsid w:val="0073338B"/>
    <w:rsid w:val="00733F95"/>
    <w:rsid w:val="0073516F"/>
    <w:rsid w:val="00744C46"/>
    <w:rsid w:val="00754619"/>
    <w:rsid w:val="0075468D"/>
    <w:rsid w:val="00773E87"/>
    <w:rsid w:val="00776A48"/>
    <w:rsid w:val="00776BF6"/>
    <w:rsid w:val="007A1C69"/>
    <w:rsid w:val="007A3145"/>
    <w:rsid w:val="007B396F"/>
    <w:rsid w:val="007B5308"/>
    <w:rsid w:val="007B5A5A"/>
    <w:rsid w:val="007D228A"/>
    <w:rsid w:val="007D7650"/>
    <w:rsid w:val="007F2D66"/>
    <w:rsid w:val="0081113C"/>
    <w:rsid w:val="00817655"/>
    <w:rsid w:val="00821D01"/>
    <w:rsid w:val="00822CDA"/>
    <w:rsid w:val="0082302B"/>
    <w:rsid w:val="00823B35"/>
    <w:rsid w:val="00832A7C"/>
    <w:rsid w:val="00835B61"/>
    <w:rsid w:val="00836C59"/>
    <w:rsid w:val="00846402"/>
    <w:rsid w:val="00846555"/>
    <w:rsid w:val="00857167"/>
    <w:rsid w:val="0086168C"/>
    <w:rsid w:val="008626C8"/>
    <w:rsid w:val="00862C90"/>
    <w:rsid w:val="00875752"/>
    <w:rsid w:val="00875DE6"/>
    <w:rsid w:val="0089533B"/>
    <w:rsid w:val="00895D0C"/>
    <w:rsid w:val="008A39A1"/>
    <w:rsid w:val="008B1252"/>
    <w:rsid w:val="008B51BA"/>
    <w:rsid w:val="008E043A"/>
    <w:rsid w:val="008E5406"/>
    <w:rsid w:val="009121F8"/>
    <w:rsid w:val="00922239"/>
    <w:rsid w:val="00922F1D"/>
    <w:rsid w:val="00930CD0"/>
    <w:rsid w:val="00930EE6"/>
    <w:rsid w:val="00931FEF"/>
    <w:rsid w:val="00934ECF"/>
    <w:rsid w:val="0093735A"/>
    <w:rsid w:val="00940BF0"/>
    <w:rsid w:val="0094101B"/>
    <w:rsid w:val="0095431E"/>
    <w:rsid w:val="009665D9"/>
    <w:rsid w:val="009C1C01"/>
    <w:rsid w:val="009D6275"/>
    <w:rsid w:val="009D7EDC"/>
    <w:rsid w:val="009F1F9A"/>
    <w:rsid w:val="00A04614"/>
    <w:rsid w:val="00A06FE3"/>
    <w:rsid w:val="00A11075"/>
    <w:rsid w:val="00A20081"/>
    <w:rsid w:val="00A2180F"/>
    <w:rsid w:val="00A25A04"/>
    <w:rsid w:val="00A25C5B"/>
    <w:rsid w:val="00A30744"/>
    <w:rsid w:val="00A32615"/>
    <w:rsid w:val="00A34721"/>
    <w:rsid w:val="00A40DCD"/>
    <w:rsid w:val="00A43FC4"/>
    <w:rsid w:val="00A5063D"/>
    <w:rsid w:val="00A5243A"/>
    <w:rsid w:val="00A60007"/>
    <w:rsid w:val="00A65398"/>
    <w:rsid w:val="00A72CD6"/>
    <w:rsid w:val="00A77C8D"/>
    <w:rsid w:val="00A9422A"/>
    <w:rsid w:val="00AB21E8"/>
    <w:rsid w:val="00AB2761"/>
    <w:rsid w:val="00AD240D"/>
    <w:rsid w:val="00AD63ED"/>
    <w:rsid w:val="00B037C0"/>
    <w:rsid w:val="00B22A8D"/>
    <w:rsid w:val="00B32F85"/>
    <w:rsid w:val="00B37D9C"/>
    <w:rsid w:val="00B56019"/>
    <w:rsid w:val="00B57C1F"/>
    <w:rsid w:val="00B843FD"/>
    <w:rsid w:val="00B8650B"/>
    <w:rsid w:val="00BB5025"/>
    <w:rsid w:val="00BC4F86"/>
    <w:rsid w:val="00BD7799"/>
    <w:rsid w:val="00BE6392"/>
    <w:rsid w:val="00C01FF3"/>
    <w:rsid w:val="00C26D0A"/>
    <w:rsid w:val="00C31EC0"/>
    <w:rsid w:val="00C3273E"/>
    <w:rsid w:val="00C33610"/>
    <w:rsid w:val="00C42404"/>
    <w:rsid w:val="00C4426A"/>
    <w:rsid w:val="00C56045"/>
    <w:rsid w:val="00C61DF8"/>
    <w:rsid w:val="00C67A5F"/>
    <w:rsid w:val="00C70C0F"/>
    <w:rsid w:val="00C740FE"/>
    <w:rsid w:val="00C75CDA"/>
    <w:rsid w:val="00C77E4A"/>
    <w:rsid w:val="00C916E2"/>
    <w:rsid w:val="00C92C5D"/>
    <w:rsid w:val="00C94995"/>
    <w:rsid w:val="00C95E7E"/>
    <w:rsid w:val="00CA49DE"/>
    <w:rsid w:val="00CB5676"/>
    <w:rsid w:val="00CC147C"/>
    <w:rsid w:val="00CD7456"/>
    <w:rsid w:val="00CE2CAB"/>
    <w:rsid w:val="00CF4D38"/>
    <w:rsid w:val="00D12F93"/>
    <w:rsid w:val="00D15E3A"/>
    <w:rsid w:val="00D5767F"/>
    <w:rsid w:val="00D60BC9"/>
    <w:rsid w:val="00D641D3"/>
    <w:rsid w:val="00D64AE8"/>
    <w:rsid w:val="00DB5F44"/>
    <w:rsid w:val="00DF0754"/>
    <w:rsid w:val="00DF743A"/>
    <w:rsid w:val="00E00B28"/>
    <w:rsid w:val="00E037BD"/>
    <w:rsid w:val="00E0514E"/>
    <w:rsid w:val="00E05B44"/>
    <w:rsid w:val="00E161F5"/>
    <w:rsid w:val="00E17B97"/>
    <w:rsid w:val="00E34725"/>
    <w:rsid w:val="00E46299"/>
    <w:rsid w:val="00E54DCE"/>
    <w:rsid w:val="00E55A38"/>
    <w:rsid w:val="00E609CC"/>
    <w:rsid w:val="00E656C1"/>
    <w:rsid w:val="00E65D0E"/>
    <w:rsid w:val="00E703F1"/>
    <w:rsid w:val="00E97B7F"/>
    <w:rsid w:val="00EA5C38"/>
    <w:rsid w:val="00EA5D97"/>
    <w:rsid w:val="00ED0040"/>
    <w:rsid w:val="00EE7C8B"/>
    <w:rsid w:val="00EF7B1B"/>
    <w:rsid w:val="00F07917"/>
    <w:rsid w:val="00F17541"/>
    <w:rsid w:val="00F22346"/>
    <w:rsid w:val="00F26EF6"/>
    <w:rsid w:val="00F277AA"/>
    <w:rsid w:val="00F279C5"/>
    <w:rsid w:val="00F35BF6"/>
    <w:rsid w:val="00F35C0A"/>
    <w:rsid w:val="00F457F9"/>
    <w:rsid w:val="00F46BC8"/>
    <w:rsid w:val="00F53717"/>
    <w:rsid w:val="00F55126"/>
    <w:rsid w:val="00F71092"/>
    <w:rsid w:val="00F874CB"/>
    <w:rsid w:val="00F958D5"/>
    <w:rsid w:val="00FB1F89"/>
    <w:rsid w:val="00FB385F"/>
    <w:rsid w:val="00FC61E4"/>
    <w:rsid w:val="00FD161F"/>
    <w:rsid w:val="00FD6B57"/>
    <w:rsid w:val="00FD7221"/>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2B98A02"/>
  <w15:chartTrackingRefBased/>
  <w15:docId w15:val="{9A548825-2460-4E73-9B88-93AEE9F8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80F"/>
    <w:rPr>
      <w:sz w:val="24"/>
      <w:szCs w:val="24"/>
    </w:rPr>
  </w:style>
  <w:style w:type="paragraph" w:styleId="Heading1">
    <w:name w:val="heading 1"/>
    <w:basedOn w:val="Title"/>
    <w:next w:val="Normal"/>
    <w:qFormat/>
    <w:rsid w:val="00F17541"/>
    <w:pPr>
      <w:ind w:left="180" w:right="0"/>
      <w:outlineLvl w:val="0"/>
    </w:pPr>
    <w:rPr>
      <w:b w:val="0"/>
      <w:sz w:val="48"/>
      <w:szCs w:val="48"/>
    </w:rPr>
  </w:style>
  <w:style w:type="paragraph" w:styleId="Heading2">
    <w:name w:val="heading 2"/>
    <w:basedOn w:val="Style2"/>
    <w:next w:val="Normal"/>
    <w:qFormat/>
    <w:rsid w:val="00CE2CAB"/>
    <w:pPr>
      <w:outlineLvl w:val="1"/>
    </w:pPr>
  </w:style>
  <w:style w:type="paragraph" w:styleId="Heading3">
    <w:name w:val="heading 3"/>
    <w:basedOn w:val="Style2"/>
    <w:next w:val="Normal"/>
    <w:qFormat/>
    <w:rsid w:val="000B6372"/>
    <w:pPr>
      <w:outlineLvl w:val="2"/>
    </w:pPr>
  </w:style>
  <w:style w:type="paragraph" w:styleId="Heading6">
    <w:name w:val="heading 6"/>
    <w:basedOn w:val="Normal"/>
    <w:next w:val="Normal"/>
    <w:qFormat/>
    <w:rsid w:val="00846402"/>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4180F"/>
    <w:pPr>
      <w:widowControl w:val="0"/>
      <w:spacing w:line="360" w:lineRule="atLeast"/>
      <w:ind w:right="720"/>
      <w:jc w:val="center"/>
    </w:pPr>
    <w:rPr>
      <w:rFonts w:eastAsia="Times"/>
      <w:b/>
      <w:szCs w:val="20"/>
    </w:rPr>
  </w:style>
  <w:style w:type="paragraph" w:styleId="Footer">
    <w:name w:val="footer"/>
    <w:basedOn w:val="Normal"/>
    <w:rsid w:val="00404390"/>
    <w:pPr>
      <w:tabs>
        <w:tab w:val="center" w:pos="4320"/>
        <w:tab w:val="right" w:pos="8640"/>
      </w:tabs>
    </w:pPr>
  </w:style>
  <w:style w:type="character" w:styleId="Hyperlink">
    <w:name w:val="Hyperlink"/>
    <w:uiPriority w:val="99"/>
    <w:rsid w:val="008E043A"/>
    <w:rPr>
      <w:color w:val="0000FF"/>
      <w:u w:val="single"/>
    </w:rPr>
  </w:style>
  <w:style w:type="table" w:styleId="TableGrid">
    <w:name w:val="Table Grid"/>
    <w:basedOn w:val="TableNormal"/>
    <w:rsid w:val="008E043A"/>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E043A"/>
    <w:pPr>
      <w:spacing w:after="120" w:line="480" w:lineRule="auto"/>
    </w:pPr>
  </w:style>
  <w:style w:type="character" w:styleId="FollowedHyperlink">
    <w:name w:val="FollowedHyperlink"/>
    <w:rsid w:val="00FD7221"/>
    <w:rPr>
      <w:color w:val="800080"/>
      <w:u w:val="single"/>
    </w:rPr>
  </w:style>
  <w:style w:type="paragraph" w:customStyle="1" w:styleId="CM1">
    <w:name w:val="CM1"/>
    <w:basedOn w:val="Normal"/>
    <w:next w:val="Normal"/>
    <w:rsid w:val="00FD7221"/>
    <w:pPr>
      <w:widowControl w:val="0"/>
      <w:autoSpaceDE w:val="0"/>
      <w:autoSpaceDN w:val="0"/>
      <w:adjustRightInd w:val="0"/>
      <w:spacing w:line="278" w:lineRule="atLeast"/>
    </w:pPr>
  </w:style>
  <w:style w:type="paragraph" w:customStyle="1" w:styleId="CM9">
    <w:name w:val="CM9"/>
    <w:basedOn w:val="Normal"/>
    <w:next w:val="Normal"/>
    <w:rsid w:val="00FD7221"/>
    <w:pPr>
      <w:widowControl w:val="0"/>
      <w:autoSpaceDE w:val="0"/>
      <w:autoSpaceDN w:val="0"/>
      <w:adjustRightInd w:val="0"/>
      <w:spacing w:after="278"/>
    </w:pPr>
  </w:style>
  <w:style w:type="paragraph" w:customStyle="1" w:styleId="Default">
    <w:name w:val="Default"/>
    <w:rsid w:val="006E58EE"/>
    <w:pPr>
      <w:widowControl w:val="0"/>
      <w:autoSpaceDE w:val="0"/>
      <w:autoSpaceDN w:val="0"/>
      <w:adjustRightInd w:val="0"/>
    </w:pPr>
    <w:rPr>
      <w:color w:val="000000"/>
      <w:sz w:val="24"/>
      <w:szCs w:val="24"/>
    </w:rPr>
  </w:style>
  <w:style w:type="paragraph" w:customStyle="1" w:styleId="CM10">
    <w:name w:val="CM10"/>
    <w:basedOn w:val="Default"/>
    <w:next w:val="Default"/>
    <w:rsid w:val="006E58EE"/>
    <w:pPr>
      <w:spacing w:after="105"/>
    </w:pPr>
    <w:rPr>
      <w:color w:val="auto"/>
    </w:rPr>
  </w:style>
  <w:style w:type="paragraph" w:styleId="BodyText3">
    <w:name w:val="Body Text 3"/>
    <w:basedOn w:val="Normal"/>
    <w:rsid w:val="00846402"/>
    <w:pPr>
      <w:spacing w:after="120"/>
    </w:pPr>
    <w:rPr>
      <w:sz w:val="16"/>
      <w:szCs w:val="16"/>
    </w:rPr>
  </w:style>
  <w:style w:type="paragraph" w:styleId="Header">
    <w:name w:val="header"/>
    <w:basedOn w:val="Normal"/>
    <w:rsid w:val="00846402"/>
    <w:pPr>
      <w:tabs>
        <w:tab w:val="center" w:pos="4320"/>
        <w:tab w:val="right" w:pos="8640"/>
      </w:tabs>
    </w:pPr>
  </w:style>
  <w:style w:type="character" w:styleId="PageNumber">
    <w:name w:val="page number"/>
    <w:basedOn w:val="DefaultParagraphFont"/>
    <w:rsid w:val="00070287"/>
  </w:style>
  <w:style w:type="character" w:customStyle="1" w:styleId="CCTC">
    <w:name w:val="CCTC"/>
    <w:semiHidden/>
    <w:rsid w:val="0086168C"/>
    <w:rPr>
      <w:rFonts w:ascii="Arial" w:hAnsi="Arial" w:cs="Arial"/>
      <w:color w:val="000080"/>
      <w:sz w:val="20"/>
      <w:szCs w:val="20"/>
    </w:rPr>
  </w:style>
  <w:style w:type="paragraph" w:styleId="BalloonText">
    <w:name w:val="Balloon Text"/>
    <w:basedOn w:val="Normal"/>
    <w:semiHidden/>
    <w:rsid w:val="003D16D8"/>
    <w:rPr>
      <w:rFonts w:ascii="Tahoma" w:hAnsi="Tahoma" w:cs="Tahoma"/>
      <w:sz w:val="16"/>
      <w:szCs w:val="16"/>
    </w:rPr>
  </w:style>
  <w:style w:type="character" w:styleId="CommentReference">
    <w:name w:val="annotation reference"/>
    <w:semiHidden/>
    <w:rsid w:val="00397671"/>
    <w:rPr>
      <w:sz w:val="16"/>
      <w:szCs w:val="16"/>
    </w:rPr>
  </w:style>
  <w:style w:type="paragraph" w:styleId="CommentText">
    <w:name w:val="annotation text"/>
    <w:basedOn w:val="Normal"/>
    <w:semiHidden/>
    <w:rsid w:val="00397671"/>
    <w:rPr>
      <w:sz w:val="20"/>
      <w:szCs w:val="20"/>
    </w:rPr>
  </w:style>
  <w:style w:type="paragraph" w:styleId="CommentSubject">
    <w:name w:val="annotation subject"/>
    <w:basedOn w:val="CommentText"/>
    <w:next w:val="CommentText"/>
    <w:semiHidden/>
    <w:rsid w:val="00397671"/>
    <w:rPr>
      <w:b/>
      <w:bCs/>
    </w:rPr>
  </w:style>
  <w:style w:type="paragraph" w:customStyle="1" w:styleId="bulletedtext">
    <w:name w:val="bulleted text"/>
    <w:basedOn w:val="Normal"/>
    <w:rsid w:val="00346904"/>
    <w:pPr>
      <w:widowControl w:val="0"/>
      <w:ind w:left="1440" w:right="-187" w:hanging="360"/>
      <w:jc w:val="both"/>
    </w:pPr>
    <w:rPr>
      <w:szCs w:val="20"/>
    </w:rPr>
  </w:style>
  <w:style w:type="character" w:customStyle="1" w:styleId="purpletext1">
    <w:name w:val="purple_text1"/>
    <w:rsid w:val="00A72CD6"/>
    <w:rPr>
      <w:color w:val="660066"/>
    </w:rPr>
  </w:style>
  <w:style w:type="character" w:customStyle="1" w:styleId="header2">
    <w:name w:val="header2"/>
    <w:basedOn w:val="DefaultParagraphFont"/>
    <w:rsid w:val="00A72CD6"/>
  </w:style>
  <w:style w:type="paragraph" w:styleId="BodyText">
    <w:name w:val="Body Text"/>
    <w:basedOn w:val="Normal"/>
    <w:rsid w:val="00A72CD6"/>
    <w:pPr>
      <w:spacing w:after="120"/>
    </w:pPr>
  </w:style>
  <w:style w:type="character" w:styleId="Emphasis">
    <w:name w:val="Emphasis"/>
    <w:qFormat/>
    <w:rsid w:val="00A72CD6"/>
    <w:rPr>
      <w:i/>
      <w:iCs/>
    </w:rPr>
  </w:style>
  <w:style w:type="paragraph" w:styleId="BodyTextIndent">
    <w:name w:val="Body Text Indent"/>
    <w:basedOn w:val="Normal"/>
    <w:rsid w:val="00A72CD6"/>
    <w:pPr>
      <w:spacing w:after="120"/>
      <w:ind w:left="360"/>
    </w:pPr>
  </w:style>
  <w:style w:type="character" w:customStyle="1" w:styleId="hit1">
    <w:name w:val="hit1"/>
    <w:rsid w:val="00A72CD6"/>
    <w:rPr>
      <w:b/>
      <w:bCs/>
      <w:i/>
      <w:iCs/>
      <w:color w:val="000000"/>
    </w:rPr>
  </w:style>
  <w:style w:type="paragraph" w:customStyle="1" w:styleId="References">
    <w:name w:val="References"/>
    <w:basedOn w:val="Normal"/>
    <w:rsid w:val="00A72CD6"/>
    <w:pPr>
      <w:tabs>
        <w:tab w:val="left" w:pos="720"/>
        <w:tab w:val="left" w:pos="1080"/>
      </w:tabs>
      <w:spacing w:after="240"/>
      <w:ind w:left="720" w:hanging="720"/>
    </w:pPr>
    <w:rPr>
      <w:rFonts w:eastAsia="Times"/>
      <w:szCs w:val="20"/>
    </w:rPr>
  </w:style>
  <w:style w:type="paragraph" w:customStyle="1" w:styleId="Style1">
    <w:name w:val="Style1"/>
    <w:basedOn w:val="Normal"/>
    <w:link w:val="Style1Char"/>
    <w:qFormat/>
    <w:rsid w:val="00F26EF6"/>
    <w:pPr>
      <w:jc w:val="center"/>
    </w:pPr>
    <w:rPr>
      <w:b/>
      <w:sz w:val="28"/>
      <w:szCs w:val="28"/>
    </w:rPr>
  </w:style>
  <w:style w:type="paragraph" w:customStyle="1" w:styleId="Style2">
    <w:name w:val="Style2"/>
    <w:basedOn w:val="Style1"/>
    <w:link w:val="Style2Char"/>
    <w:qFormat/>
    <w:rsid w:val="00C94995"/>
  </w:style>
  <w:style w:type="character" w:customStyle="1" w:styleId="Style1Char">
    <w:name w:val="Style1 Char"/>
    <w:link w:val="Style1"/>
    <w:rsid w:val="00F26EF6"/>
    <w:rPr>
      <w:b/>
      <w:sz w:val="28"/>
      <w:szCs w:val="28"/>
    </w:rPr>
  </w:style>
  <w:style w:type="paragraph" w:customStyle="1" w:styleId="Style3">
    <w:name w:val="Style3"/>
    <w:basedOn w:val="Normal"/>
    <w:link w:val="Style3Char"/>
    <w:qFormat/>
    <w:rsid w:val="00F26EF6"/>
    <w:pPr>
      <w:jc w:val="both"/>
    </w:pPr>
    <w:rPr>
      <w:b/>
    </w:rPr>
  </w:style>
  <w:style w:type="character" w:customStyle="1" w:styleId="Style2Char">
    <w:name w:val="Style2 Char"/>
    <w:link w:val="Style2"/>
    <w:rsid w:val="00C94995"/>
    <w:rPr>
      <w:b/>
      <w:sz w:val="28"/>
      <w:szCs w:val="28"/>
    </w:rPr>
  </w:style>
  <w:style w:type="paragraph" w:styleId="TOCHeading">
    <w:name w:val="TOC Heading"/>
    <w:basedOn w:val="Heading1"/>
    <w:next w:val="Normal"/>
    <w:uiPriority w:val="39"/>
    <w:unhideWhenUsed/>
    <w:qFormat/>
    <w:rsid w:val="006A536C"/>
    <w:pPr>
      <w:keepLines/>
      <w:spacing w:before="480" w:line="276" w:lineRule="auto"/>
      <w:jc w:val="left"/>
      <w:outlineLvl w:val="9"/>
    </w:pPr>
    <w:rPr>
      <w:rFonts w:ascii="Cambria" w:eastAsia="MS Gothic" w:hAnsi="Cambria"/>
      <w:b/>
      <w:bCs/>
      <w:color w:val="365F91"/>
      <w:szCs w:val="28"/>
      <w:lang w:eastAsia="ja-JP"/>
    </w:rPr>
  </w:style>
  <w:style w:type="character" w:customStyle="1" w:styleId="Style3Char">
    <w:name w:val="Style3 Char"/>
    <w:link w:val="Style3"/>
    <w:rsid w:val="00F26EF6"/>
    <w:rPr>
      <w:b/>
      <w:sz w:val="24"/>
      <w:szCs w:val="24"/>
    </w:rPr>
  </w:style>
  <w:style w:type="paragraph" w:styleId="TOC1">
    <w:name w:val="toc 1"/>
    <w:aliases w:val="TOC A"/>
    <w:next w:val="Normal"/>
    <w:link w:val="TOC1Char"/>
    <w:autoRedefine/>
    <w:uiPriority w:val="39"/>
    <w:qFormat/>
    <w:rsid w:val="00505FF7"/>
    <w:pPr>
      <w:tabs>
        <w:tab w:val="right" w:leader="dot" w:pos="10170"/>
      </w:tabs>
      <w:spacing w:before="120" w:after="120"/>
    </w:pPr>
    <w:rPr>
      <w:b/>
      <w:bCs/>
      <w:noProof/>
      <w:sz w:val="24"/>
    </w:rPr>
  </w:style>
  <w:style w:type="paragraph" w:styleId="TOC2">
    <w:name w:val="toc 2"/>
    <w:basedOn w:val="Style2"/>
    <w:next w:val="Normal"/>
    <w:autoRedefine/>
    <w:uiPriority w:val="39"/>
    <w:unhideWhenUsed/>
    <w:qFormat/>
    <w:rsid w:val="00505FF7"/>
    <w:pPr>
      <w:tabs>
        <w:tab w:val="right" w:leader="dot" w:pos="10170"/>
      </w:tabs>
      <w:ind w:left="240"/>
      <w:jc w:val="left"/>
    </w:pPr>
    <w:rPr>
      <w:rFonts w:cs="Calibri"/>
      <w:b w:val="0"/>
      <w:noProof/>
      <w:sz w:val="24"/>
      <w:szCs w:val="20"/>
    </w:rPr>
  </w:style>
  <w:style w:type="paragraph" w:styleId="TOC9">
    <w:name w:val="toc 9"/>
    <w:basedOn w:val="Normal"/>
    <w:next w:val="Normal"/>
    <w:autoRedefine/>
    <w:rsid w:val="006A536C"/>
    <w:pPr>
      <w:ind w:left="1920"/>
    </w:pPr>
    <w:rPr>
      <w:rFonts w:ascii="Calibri" w:hAnsi="Calibri" w:cs="Calibri"/>
      <w:sz w:val="18"/>
      <w:szCs w:val="18"/>
    </w:rPr>
  </w:style>
  <w:style w:type="paragraph" w:styleId="TOC3">
    <w:name w:val="toc 3"/>
    <w:basedOn w:val="Style3"/>
    <w:next w:val="Normal"/>
    <w:autoRedefine/>
    <w:uiPriority w:val="39"/>
    <w:unhideWhenUsed/>
    <w:qFormat/>
    <w:rsid w:val="00505FF7"/>
    <w:pPr>
      <w:tabs>
        <w:tab w:val="right" w:leader="dot" w:pos="10170"/>
      </w:tabs>
      <w:ind w:left="480"/>
      <w:jc w:val="left"/>
    </w:pPr>
    <w:rPr>
      <w:rFonts w:cs="Calibri"/>
      <w:b w:val="0"/>
      <w:i/>
      <w:iCs/>
      <w:noProof/>
      <w:sz w:val="22"/>
      <w:szCs w:val="20"/>
    </w:rPr>
  </w:style>
  <w:style w:type="paragraph" w:styleId="TOC6">
    <w:name w:val="toc 6"/>
    <w:basedOn w:val="Normal"/>
    <w:next w:val="Normal"/>
    <w:autoRedefine/>
    <w:uiPriority w:val="39"/>
    <w:rsid w:val="005E21C7"/>
    <w:pPr>
      <w:ind w:left="1200"/>
    </w:pPr>
    <w:rPr>
      <w:rFonts w:ascii="Calibri" w:hAnsi="Calibri" w:cs="Calibri"/>
      <w:sz w:val="18"/>
      <w:szCs w:val="18"/>
    </w:rPr>
  </w:style>
  <w:style w:type="paragraph" w:styleId="TOC5">
    <w:name w:val="toc 5"/>
    <w:basedOn w:val="Normal"/>
    <w:next w:val="Normal"/>
    <w:autoRedefine/>
    <w:uiPriority w:val="39"/>
    <w:rsid w:val="005E21C7"/>
    <w:pPr>
      <w:ind w:left="960"/>
    </w:pPr>
    <w:rPr>
      <w:rFonts w:ascii="Calibri" w:hAnsi="Calibri" w:cs="Calibri"/>
      <w:sz w:val="18"/>
      <w:szCs w:val="18"/>
    </w:rPr>
  </w:style>
  <w:style w:type="paragraph" w:customStyle="1" w:styleId="Style4">
    <w:name w:val="Style4"/>
    <w:basedOn w:val="Style1"/>
    <w:link w:val="Style4Char"/>
    <w:qFormat/>
    <w:rsid w:val="00E55A38"/>
    <w:rPr>
      <w:sz w:val="32"/>
    </w:rPr>
  </w:style>
  <w:style w:type="paragraph" w:styleId="TOC4">
    <w:name w:val="toc 4"/>
    <w:basedOn w:val="Normal"/>
    <w:next w:val="Normal"/>
    <w:autoRedefine/>
    <w:rsid w:val="00E55A38"/>
    <w:pPr>
      <w:ind w:left="720"/>
    </w:pPr>
    <w:rPr>
      <w:rFonts w:ascii="Calibri" w:hAnsi="Calibri" w:cs="Calibri"/>
      <w:sz w:val="18"/>
      <w:szCs w:val="18"/>
    </w:rPr>
  </w:style>
  <w:style w:type="character" w:customStyle="1" w:styleId="Style4Char">
    <w:name w:val="Style4 Char"/>
    <w:link w:val="Style4"/>
    <w:rsid w:val="00E55A38"/>
    <w:rPr>
      <w:b/>
      <w:sz w:val="32"/>
      <w:szCs w:val="28"/>
    </w:rPr>
  </w:style>
  <w:style w:type="paragraph" w:styleId="TOC7">
    <w:name w:val="toc 7"/>
    <w:basedOn w:val="Normal"/>
    <w:next w:val="Normal"/>
    <w:autoRedefine/>
    <w:rsid w:val="00E55A38"/>
    <w:pPr>
      <w:ind w:left="1440"/>
    </w:pPr>
    <w:rPr>
      <w:rFonts w:ascii="Calibri" w:hAnsi="Calibri" w:cs="Calibri"/>
      <w:sz w:val="18"/>
      <w:szCs w:val="18"/>
    </w:rPr>
  </w:style>
  <w:style w:type="paragraph" w:styleId="TOC8">
    <w:name w:val="toc 8"/>
    <w:basedOn w:val="Normal"/>
    <w:next w:val="Normal"/>
    <w:autoRedefine/>
    <w:rsid w:val="00E55A38"/>
    <w:pPr>
      <w:ind w:left="1680"/>
    </w:pPr>
    <w:rPr>
      <w:rFonts w:ascii="Calibri" w:hAnsi="Calibri" w:cs="Calibri"/>
      <w:sz w:val="18"/>
      <w:szCs w:val="18"/>
    </w:rPr>
  </w:style>
  <w:style w:type="character" w:customStyle="1" w:styleId="TOC1Char">
    <w:name w:val="TOC 1 Char"/>
    <w:aliases w:val="TOC A Char"/>
    <w:link w:val="TOC1"/>
    <w:uiPriority w:val="39"/>
    <w:rsid w:val="00505FF7"/>
    <w:rPr>
      <w:b/>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tc.ca.gov/educator-prep/STDS-preconditions.html" TargetMode="External"/><Relationship Id="rId39" Type="http://schemas.openxmlformats.org/officeDocument/2006/relationships/hyperlink" Target="http://www.cset.nesinc.com/CS_SMR_opener.asp" TargetMode="External"/><Relationship Id="rId21" Type="http://schemas.openxmlformats.org/officeDocument/2006/relationships/hyperlink" Target="http://www.ctc.ca.gov/notices/coded/2009/0906.pdf" TargetMode="External"/><Relationship Id="rId34" Type="http://schemas.openxmlformats.org/officeDocument/2006/relationships/hyperlink" Target="http://www.ctc.ca.gov/educator-prep/forms/Intent-to-Submit-a-New-Educator-Preparation-Program.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tc.ca.gov/" TargetMode="External"/><Relationship Id="rId20" Type="http://schemas.openxmlformats.org/officeDocument/2006/relationships/hyperlink" Target="http://www.ctc.ca.gov/educator-prep/PS-alerts/2008/PSA-08-09.pdf" TargetMode="External"/><Relationship Id="rId29" Type="http://schemas.openxmlformats.org/officeDocument/2006/relationships/hyperlink" Target="http://www.ctc.ca.gov/educator-prep/new-program-submission.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tc.ca.gov/educator-prep/new-program-submission.html" TargetMode="External"/><Relationship Id="rId32" Type="http://schemas.openxmlformats.org/officeDocument/2006/relationships/hyperlink" Target="http://www.ctc.ca.gov/educator-prep/coa-meetings.html" TargetMode="External"/><Relationship Id="rId37" Type="http://schemas.openxmlformats.org/officeDocument/2006/relationships/hyperlink" Target="http://www.leginfo.ca.gov/cgi-bin/calawquery?codesection=edc&amp;codebody=&amp;hits=20" TargetMode="External"/><Relationship Id="rId40" Type="http://schemas.openxmlformats.org/officeDocument/2006/relationships/hyperlink" Target="http://www.cset.nesinc.com/CS_SMR_opener.asp"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tc.ca.gov/educator-prep/new-program-submission.html" TargetMode="External"/><Relationship Id="rId28" Type="http://schemas.openxmlformats.org/officeDocument/2006/relationships/hyperlink" Target="http://www.ctc.ca.gov/educator-prep/standards/Common-Standards-Addendum.doc"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ctc.ca.gov/educator-prep/PS-alerts/2009/PSA-09-06.pdf" TargetMode="External"/><Relationship Id="rId31" Type="http://schemas.openxmlformats.org/officeDocument/2006/relationships/hyperlink" Target="http://www.ctc.ca.gov/educator-prep/coa-meetin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tc.ca.gov/educator-prep/STDS-common.html" TargetMode="External"/><Relationship Id="rId27" Type="http://schemas.openxmlformats.org/officeDocument/2006/relationships/hyperlink" Target="http://www.ctc.ca.gov/educator-prep/STDS-common.html" TargetMode="External"/><Relationship Id="rId30" Type="http://schemas.openxmlformats.org/officeDocument/2006/relationships/hyperlink" Target="http://www.ctc.ca.gov/educator-prep/coa-meetings.html" TargetMode="External"/><Relationship Id="rId35" Type="http://schemas.openxmlformats.org/officeDocument/2006/relationships/hyperlink" Target="http://www.ctc.ca.gov/educator-prep/BIR.htm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ctc.ca.gov/commission/commissioners.html" TargetMode="External"/><Relationship Id="rId25" Type="http://schemas.openxmlformats.org/officeDocument/2006/relationships/hyperlink" Target="http://www.ctc.ca.gov/educator-prep/forms/Intent-to-Submit-a-New-Educator-Preparation-Program.pdf" TargetMode="External"/><Relationship Id="rId33" Type="http://schemas.openxmlformats.org/officeDocument/2006/relationships/hyperlink" Target="http://www.ctc.ca.gov/educator-prep/new-program-submission.html" TargetMode="External"/><Relationship Id="rId38" Type="http://schemas.openxmlformats.org/officeDocument/2006/relationships/hyperlink" Target="http://www.ed.gov/offices/OESE/esea/summar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1" ma:contentTypeDescription="Create a new document." ma:contentTypeScope="" ma:versionID="f81468c2bff6de8366187a2bb6fc6774">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d8a44b4719eb1e8702ba67ed82051da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45783-7A80-45AD-9481-D868D11F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57798-A3C5-4CE4-A134-9C0128D735D8}">
  <ds:schemaRefs>
    <ds:schemaRef ds:uri="http://schemas.openxmlformats.org/officeDocument/2006/bibliography"/>
  </ds:schemaRefs>
</ds:datastoreItem>
</file>

<file path=customXml/itemProps3.xml><?xml version="1.0" encoding="utf-8"?>
<ds:datastoreItem xmlns:ds="http://schemas.openxmlformats.org/officeDocument/2006/customXml" ds:itemID="{5BE1BC9B-4761-4FD6-9069-EF005C5FA14D}">
  <ds:schemaRefs>
    <ds:schemaRef ds:uri="http://schemas.microsoft.com/sharepoint/v3/contenttype/forms"/>
  </ds:schemaRefs>
</ds:datastoreItem>
</file>

<file path=customXml/itemProps4.xml><?xml version="1.0" encoding="utf-8"?>
<ds:datastoreItem xmlns:ds="http://schemas.openxmlformats.org/officeDocument/2006/customXml" ds:itemID="{066526B0-3D85-4B66-83A6-11939751119B}">
  <ds:schemaRefs>
    <ds:schemaRef ds:uri="http://schemas.microsoft.com/office/2006/metadata/longProperties"/>
  </ds:schemaRefs>
</ds:datastoreItem>
</file>

<file path=customXml/itemProps5.xml><?xml version="1.0" encoding="utf-8"?>
<ds:datastoreItem xmlns:ds="http://schemas.openxmlformats.org/officeDocument/2006/customXml" ds:itemID="{6352FFB3-B19F-443C-B97B-7590E2ABD8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14354</Words>
  <Characters>81820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Bilingual Teacher Preparation Programs</vt:lpstr>
    </vt:vector>
  </TitlesOfParts>
  <Company/>
  <LinksUpToDate>false</LinksUpToDate>
  <CharactersWithSpaces>95983</CharactersWithSpaces>
  <SharedDoc>false</SharedDoc>
  <HLinks>
    <vt:vector size="318" baseType="variant">
      <vt:variant>
        <vt:i4>1114122</vt:i4>
      </vt:variant>
      <vt:variant>
        <vt:i4>243</vt:i4>
      </vt:variant>
      <vt:variant>
        <vt:i4>0</vt:i4>
      </vt:variant>
      <vt:variant>
        <vt:i4>5</vt:i4>
      </vt:variant>
      <vt:variant>
        <vt:lpwstr>http://www.cset.nesinc.com/CS_SMR_opener.asp</vt:lpwstr>
      </vt:variant>
      <vt:variant>
        <vt:lpwstr/>
      </vt:variant>
      <vt:variant>
        <vt:i4>1114122</vt:i4>
      </vt:variant>
      <vt:variant>
        <vt:i4>240</vt:i4>
      </vt:variant>
      <vt:variant>
        <vt:i4>0</vt:i4>
      </vt:variant>
      <vt:variant>
        <vt:i4>5</vt:i4>
      </vt:variant>
      <vt:variant>
        <vt:lpwstr>http://www.cset.nesinc.com/CS_SMR_opener.asp</vt:lpwstr>
      </vt:variant>
      <vt:variant>
        <vt:lpwstr/>
      </vt:variant>
      <vt:variant>
        <vt:i4>1441822</vt:i4>
      </vt:variant>
      <vt:variant>
        <vt:i4>237</vt:i4>
      </vt:variant>
      <vt:variant>
        <vt:i4>0</vt:i4>
      </vt:variant>
      <vt:variant>
        <vt:i4>5</vt:i4>
      </vt:variant>
      <vt:variant>
        <vt:lpwstr>http://www.ed.gov/offices/OESE/esea/summary.html</vt:lpwstr>
      </vt:variant>
      <vt:variant>
        <vt:lpwstr/>
      </vt:variant>
      <vt:variant>
        <vt:i4>7733307</vt:i4>
      </vt:variant>
      <vt:variant>
        <vt:i4>234</vt:i4>
      </vt:variant>
      <vt:variant>
        <vt:i4>0</vt:i4>
      </vt:variant>
      <vt:variant>
        <vt:i4>5</vt:i4>
      </vt:variant>
      <vt:variant>
        <vt:lpwstr>http://www.leginfo.ca.gov/cgi-bin/calawquery?codesection=edc&amp;codebody=&amp;hits=20</vt:lpwstr>
      </vt:variant>
      <vt:variant>
        <vt:lpwstr/>
      </vt:variant>
      <vt:variant>
        <vt:i4>4325470</vt:i4>
      </vt:variant>
      <vt:variant>
        <vt:i4>231</vt:i4>
      </vt:variant>
      <vt:variant>
        <vt:i4>0</vt:i4>
      </vt:variant>
      <vt:variant>
        <vt:i4>5</vt:i4>
      </vt:variant>
      <vt:variant>
        <vt:lpwstr>http://www.ctc.ca.gov/educator-prep/BIR.html</vt:lpwstr>
      </vt:variant>
      <vt:variant>
        <vt:lpwstr/>
      </vt:variant>
      <vt:variant>
        <vt:i4>4784206</vt:i4>
      </vt:variant>
      <vt:variant>
        <vt:i4>228</vt:i4>
      </vt:variant>
      <vt:variant>
        <vt:i4>0</vt:i4>
      </vt:variant>
      <vt:variant>
        <vt:i4>5</vt:i4>
      </vt:variant>
      <vt:variant>
        <vt:lpwstr>http://www.ctc.ca.gov/educator-prep/forms/Intent-to-Submit-a-New-Educator-Preparation-Program.pdf</vt:lpwstr>
      </vt:variant>
      <vt:variant>
        <vt:lpwstr/>
      </vt:variant>
      <vt:variant>
        <vt:i4>6619244</vt:i4>
      </vt:variant>
      <vt:variant>
        <vt:i4>225</vt:i4>
      </vt:variant>
      <vt:variant>
        <vt:i4>0</vt:i4>
      </vt:variant>
      <vt:variant>
        <vt:i4>5</vt:i4>
      </vt:variant>
      <vt:variant>
        <vt:lpwstr>http://www.ctc.ca.gov/educator-prep/new-program-submission.html</vt:lpwstr>
      </vt:variant>
      <vt:variant>
        <vt:lpwstr/>
      </vt:variant>
      <vt:variant>
        <vt:i4>5636117</vt:i4>
      </vt:variant>
      <vt:variant>
        <vt:i4>222</vt:i4>
      </vt:variant>
      <vt:variant>
        <vt:i4>0</vt:i4>
      </vt:variant>
      <vt:variant>
        <vt:i4>5</vt:i4>
      </vt:variant>
      <vt:variant>
        <vt:lpwstr>http://www.ctc.ca.gov/educator-prep/coa-meetings.html</vt:lpwstr>
      </vt:variant>
      <vt:variant>
        <vt:lpwstr/>
      </vt:variant>
      <vt:variant>
        <vt:i4>5636117</vt:i4>
      </vt:variant>
      <vt:variant>
        <vt:i4>219</vt:i4>
      </vt:variant>
      <vt:variant>
        <vt:i4>0</vt:i4>
      </vt:variant>
      <vt:variant>
        <vt:i4>5</vt:i4>
      </vt:variant>
      <vt:variant>
        <vt:lpwstr>http://www.ctc.ca.gov/educator-prep/coa-meetings.html</vt:lpwstr>
      </vt:variant>
      <vt:variant>
        <vt:lpwstr/>
      </vt:variant>
      <vt:variant>
        <vt:i4>5636117</vt:i4>
      </vt:variant>
      <vt:variant>
        <vt:i4>216</vt:i4>
      </vt:variant>
      <vt:variant>
        <vt:i4>0</vt:i4>
      </vt:variant>
      <vt:variant>
        <vt:i4>5</vt:i4>
      </vt:variant>
      <vt:variant>
        <vt:lpwstr>http://www.ctc.ca.gov/educator-prep/coa-meetings.html</vt:lpwstr>
      </vt:variant>
      <vt:variant>
        <vt:lpwstr/>
      </vt:variant>
      <vt:variant>
        <vt:i4>6946889</vt:i4>
      </vt:variant>
      <vt:variant>
        <vt:i4>213</vt:i4>
      </vt:variant>
      <vt:variant>
        <vt:i4>0</vt:i4>
      </vt:variant>
      <vt:variant>
        <vt:i4>5</vt:i4>
      </vt:variant>
      <vt:variant>
        <vt:lpwstr/>
      </vt:variant>
      <vt:variant>
        <vt:lpwstr>Appendix_C</vt:lpwstr>
      </vt:variant>
      <vt:variant>
        <vt:i4>589832</vt:i4>
      </vt:variant>
      <vt:variant>
        <vt:i4>210</vt:i4>
      </vt:variant>
      <vt:variant>
        <vt:i4>0</vt:i4>
      </vt:variant>
      <vt:variant>
        <vt:i4>5</vt:i4>
      </vt:variant>
      <vt:variant>
        <vt:lpwstr>http://www.ctc.ca.gov/educator-prep/new-program-submission.html</vt:lpwstr>
      </vt:variant>
      <vt:variant>
        <vt:lpwstr>submission</vt:lpwstr>
      </vt:variant>
      <vt:variant>
        <vt:i4>7143497</vt:i4>
      </vt:variant>
      <vt:variant>
        <vt:i4>207</vt:i4>
      </vt:variant>
      <vt:variant>
        <vt:i4>0</vt:i4>
      </vt:variant>
      <vt:variant>
        <vt:i4>5</vt:i4>
      </vt:variant>
      <vt:variant>
        <vt:lpwstr/>
      </vt:variant>
      <vt:variant>
        <vt:lpwstr>Appendix_D</vt:lpwstr>
      </vt:variant>
      <vt:variant>
        <vt:i4>6881326</vt:i4>
      </vt:variant>
      <vt:variant>
        <vt:i4>204</vt:i4>
      </vt:variant>
      <vt:variant>
        <vt:i4>0</vt:i4>
      </vt:variant>
      <vt:variant>
        <vt:i4>5</vt:i4>
      </vt:variant>
      <vt:variant>
        <vt:lpwstr>http://www.ctc.ca.gov/educator-prep/standards/Common-Standards-Addendum.doc</vt:lpwstr>
      </vt:variant>
      <vt:variant>
        <vt:lpwstr/>
      </vt:variant>
      <vt:variant>
        <vt:i4>5046296</vt:i4>
      </vt:variant>
      <vt:variant>
        <vt:i4>201</vt:i4>
      </vt:variant>
      <vt:variant>
        <vt:i4>0</vt:i4>
      </vt:variant>
      <vt:variant>
        <vt:i4>5</vt:i4>
      </vt:variant>
      <vt:variant>
        <vt:lpwstr>http://www.ctc.ca.gov/educator-prep/STDS-common.html</vt:lpwstr>
      </vt:variant>
      <vt:variant>
        <vt:lpwstr/>
      </vt:variant>
      <vt:variant>
        <vt:i4>6881338</vt:i4>
      </vt:variant>
      <vt:variant>
        <vt:i4>198</vt:i4>
      </vt:variant>
      <vt:variant>
        <vt:i4>0</vt:i4>
      </vt:variant>
      <vt:variant>
        <vt:i4>5</vt:i4>
      </vt:variant>
      <vt:variant>
        <vt:lpwstr>http://www.ctc.ca.gov/educator-prep/STDS-preconditions.html</vt:lpwstr>
      </vt:variant>
      <vt:variant>
        <vt:lpwstr/>
      </vt:variant>
      <vt:variant>
        <vt:i4>4784206</vt:i4>
      </vt:variant>
      <vt:variant>
        <vt:i4>195</vt:i4>
      </vt:variant>
      <vt:variant>
        <vt:i4>0</vt:i4>
      </vt:variant>
      <vt:variant>
        <vt:i4>5</vt:i4>
      </vt:variant>
      <vt:variant>
        <vt:lpwstr>http://www.ctc.ca.gov/educator-prep/forms/Intent-to-Submit-a-New-Educator-Preparation-Program.pdf</vt:lpwstr>
      </vt:variant>
      <vt:variant>
        <vt:lpwstr/>
      </vt:variant>
      <vt:variant>
        <vt:i4>589832</vt:i4>
      </vt:variant>
      <vt:variant>
        <vt:i4>192</vt:i4>
      </vt:variant>
      <vt:variant>
        <vt:i4>0</vt:i4>
      </vt:variant>
      <vt:variant>
        <vt:i4>5</vt:i4>
      </vt:variant>
      <vt:variant>
        <vt:lpwstr>http://www.ctc.ca.gov/educator-prep/new-program-submission.html</vt:lpwstr>
      </vt:variant>
      <vt:variant>
        <vt:lpwstr>submission</vt:lpwstr>
      </vt:variant>
      <vt:variant>
        <vt:i4>6619244</vt:i4>
      </vt:variant>
      <vt:variant>
        <vt:i4>189</vt:i4>
      </vt:variant>
      <vt:variant>
        <vt:i4>0</vt:i4>
      </vt:variant>
      <vt:variant>
        <vt:i4>5</vt:i4>
      </vt:variant>
      <vt:variant>
        <vt:lpwstr>http://www.ctc.ca.gov/educator-prep/new-program-submission.html</vt:lpwstr>
      </vt:variant>
      <vt:variant>
        <vt:lpwstr/>
      </vt:variant>
      <vt:variant>
        <vt:i4>5046296</vt:i4>
      </vt:variant>
      <vt:variant>
        <vt:i4>186</vt:i4>
      </vt:variant>
      <vt:variant>
        <vt:i4>0</vt:i4>
      </vt:variant>
      <vt:variant>
        <vt:i4>5</vt:i4>
      </vt:variant>
      <vt:variant>
        <vt:lpwstr>http://www.ctc.ca.gov/educator-prep/STDS-common.html</vt:lpwstr>
      </vt:variant>
      <vt:variant>
        <vt:lpwstr/>
      </vt:variant>
      <vt:variant>
        <vt:i4>786497</vt:i4>
      </vt:variant>
      <vt:variant>
        <vt:i4>183</vt:i4>
      </vt:variant>
      <vt:variant>
        <vt:i4>0</vt:i4>
      </vt:variant>
      <vt:variant>
        <vt:i4>5</vt:i4>
      </vt:variant>
      <vt:variant>
        <vt:lpwstr>http://www.ctc.ca.gov/notices/coded/2009/0906.pdf</vt:lpwstr>
      </vt:variant>
      <vt:variant>
        <vt:lpwstr/>
      </vt:variant>
      <vt:variant>
        <vt:i4>1704010</vt:i4>
      </vt:variant>
      <vt:variant>
        <vt:i4>180</vt:i4>
      </vt:variant>
      <vt:variant>
        <vt:i4>0</vt:i4>
      </vt:variant>
      <vt:variant>
        <vt:i4>5</vt:i4>
      </vt:variant>
      <vt:variant>
        <vt:lpwstr>http://www.ctc.ca.gov/educator-prep/PS-alerts/2008/PSA-08-09.pdf</vt:lpwstr>
      </vt:variant>
      <vt:variant>
        <vt:lpwstr/>
      </vt:variant>
      <vt:variant>
        <vt:i4>1310795</vt:i4>
      </vt:variant>
      <vt:variant>
        <vt:i4>177</vt:i4>
      </vt:variant>
      <vt:variant>
        <vt:i4>0</vt:i4>
      </vt:variant>
      <vt:variant>
        <vt:i4>5</vt:i4>
      </vt:variant>
      <vt:variant>
        <vt:lpwstr>http://www.ctc.ca.gov/educator-prep/PS-alerts/2009/PSA-09-06.pdf</vt:lpwstr>
      </vt:variant>
      <vt:variant>
        <vt:lpwstr/>
      </vt:variant>
      <vt:variant>
        <vt:i4>1769528</vt:i4>
      </vt:variant>
      <vt:variant>
        <vt:i4>170</vt:i4>
      </vt:variant>
      <vt:variant>
        <vt:i4>0</vt:i4>
      </vt:variant>
      <vt:variant>
        <vt:i4>5</vt:i4>
      </vt:variant>
      <vt:variant>
        <vt:lpwstr/>
      </vt:variant>
      <vt:variant>
        <vt:lpwstr>_Toc337553993</vt:lpwstr>
      </vt:variant>
      <vt:variant>
        <vt:i4>1769528</vt:i4>
      </vt:variant>
      <vt:variant>
        <vt:i4>164</vt:i4>
      </vt:variant>
      <vt:variant>
        <vt:i4>0</vt:i4>
      </vt:variant>
      <vt:variant>
        <vt:i4>5</vt:i4>
      </vt:variant>
      <vt:variant>
        <vt:lpwstr/>
      </vt:variant>
      <vt:variant>
        <vt:lpwstr>_Toc337553992</vt:lpwstr>
      </vt:variant>
      <vt:variant>
        <vt:i4>1769528</vt:i4>
      </vt:variant>
      <vt:variant>
        <vt:i4>158</vt:i4>
      </vt:variant>
      <vt:variant>
        <vt:i4>0</vt:i4>
      </vt:variant>
      <vt:variant>
        <vt:i4>5</vt:i4>
      </vt:variant>
      <vt:variant>
        <vt:lpwstr/>
      </vt:variant>
      <vt:variant>
        <vt:lpwstr>_Toc337553991</vt:lpwstr>
      </vt:variant>
      <vt:variant>
        <vt:i4>1769528</vt:i4>
      </vt:variant>
      <vt:variant>
        <vt:i4>152</vt:i4>
      </vt:variant>
      <vt:variant>
        <vt:i4>0</vt:i4>
      </vt:variant>
      <vt:variant>
        <vt:i4>5</vt:i4>
      </vt:variant>
      <vt:variant>
        <vt:lpwstr/>
      </vt:variant>
      <vt:variant>
        <vt:lpwstr>_Toc337553990</vt:lpwstr>
      </vt:variant>
      <vt:variant>
        <vt:i4>1703992</vt:i4>
      </vt:variant>
      <vt:variant>
        <vt:i4>146</vt:i4>
      </vt:variant>
      <vt:variant>
        <vt:i4>0</vt:i4>
      </vt:variant>
      <vt:variant>
        <vt:i4>5</vt:i4>
      </vt:variant>
      <vt:variant>
        <vt:lpwstr/>
      </vt:variant>
      <vt:variant>
        <vt:lpwstr>_Toc337553989</vt:lpwstr>
      </vt:variant>
      <vt:variant>
        <vt:i4>1703992</vt:i4>
      </vt:variant>
      <vt:variant>
        <vt:i4>140</vt:i4>
      </vt:variant>
      <vt:variant>
        <vt:i4>0</vt:i4>
      </vt:variant>
      <vt:variant>
        <vt:i4>5</vt:i4>
      </vt:variant>
      <vt:variant>
        <vt:lpwstr/>
      </vt:variant>
      <vt:variant>
        <vt:lpwstr>_Toc337553988</vt:lpwstr>
      </vt:variant>
      <vt:variant>
        <vt:i4>1703992</vt:i4>
      </vt:variant>
      <vt:variant>
        <vt:i4>134</vt:i4>
      </vt:variant>
      <vt:variant>
        <vt:i4>0</vt:i4>
      </vt:variant>
      <vt:variant>
        <vt:i4>5</vt:i4>
      </vt:variant>
      <vt:variant>
        <vt:lpwstr/>
      </vt:variant>
      <vt:variant>
        <vt:lpwstr>_Toc337553987</vt:lpwstr>
      </vt:variant>
      <vt:variant>
        <vt:i4>1703992</vt:i4>
      </vt:variant>
      <vt:variant>
        <vt:i4>128</vt:i4>
      </vt:variant>
      <vt:variant>
        <vt:i4>0</vt:i4>
      </vt:variant>
      <vt:variant>
        <vt:i4>5</vt:i4>
      </vt:variant>
      <vt:variant>
        <vt:lpwstr/>
      </vt:variant>
      <vt:variant>
        <vt:lpwstr>_Toc337553986</vt:lpwstr>
      </vt:variant>
      <vt:variant>
        <vt:i4>1703992</vt:i4>
      </vt:variant>
      <vt:variant>
        <vt:i4>122</vt:i4>
      </vt:variant>
      <vt:variant>
        <vt:i4>0</vt:i4>
      </vt:variant>
      <vt:variant>
        <vt:i4>5</vt:i4>
      </vt:variant>
      <vt:variant>
        <vt:lpwstr/>
      </vt:variant>
      <vt:variant>
        <vt:lpwstr>_Toc337553985</vt:lpwstr>
      </vt:variant>
      <vt:variant>
        <vt:i4>1703992</vt:i4>
      </vt:variant>
      <vt:variant>
        <vt:i4>116</vt:i4>
      </vt:variant>
      <vt:variant>
        <vt:i4>0</vt:i4>
      </vt:variant>
      <vt:variant>
        <vt:i4>5</vt:i4>
      </vt:variant>
      <vt:variant>
        <vt:lpwstr/>
      </vt:variant>
      <vt:variant>
        <vt:lpwstr>_Toc337553984</vt:lpwstr>
      </vt:variant>
      <vt:variant>
        <vt:i4>1703992</vt:i4>
      </vt:variant>
      <vt:variant>
        <vt:i4>110</vt:i4>
      </vt:variant>
      <vt:variant>
        <vt:i4>0</vt:i4>
      </vt:variant>
      <vt:variant>
        <vt:i4>5</vt:i4>
      </vt:variant>
      <vt:variant>
        <vt:lpwstr/>
      </vt:variant>
      <vt:variant>
        <vt:lpwstr>_Toc337553983</vt:lpwstr>
      </vt:variant>
      <vt:variant>
        <vt:i4>1703992</vt:i4>
      </vt:variant>
      <vt:variant>
        <vt:i4>104</vt:i4>
      </vt:variant>
      <vt:variant>
        <vt:i4>0</vt:i4>
      </vt:variant>
      <vt:variant>
        <vt:i4>5</vt:i4>
      </vt:variant>
      <vt:variant>
        <vt:lpwstr/>
      </vt:variant>
      <vt:variant>
        <vt:lpwstr>_Toc337553982</vt:lpwstr>
      </vt:variant>
      <vt:variant>
        <vt:i4>1703992</vt:i4>
      </vt:variant>
      <vt:variant>
        <vt:i4>98</vt:i4>
      </vt:variant>
      <vt:variant>
        <vt:i4>0</vt:i4>
      </vt:variant>
      <vt:variant>
        <vt:i4>5</vt:i4>
      </vt:variant>
      <vt:variant>
        <vt:lpwstr/>
      </vt:variant>
      <vt:variant>
        <vt:lpwstr>_Toc337553981</vt:lpwstr>
      </vt:variant>
      <vt:variant>
        <vt:i4>1703992</vt:i4>
      </vt:variant>
      <vt:variant>
        <vt:i4>92</vt:i4>
      </vt:variant>
      <vt:variant>
        <vt:i4>0</vt:i4>
      </vt:variant>
      <vt:variant>
        <vt:i4>5</vt:i4>
      </vt:variant>
      <vt:variant>
        <vt:lpwstr/>
      </vt:variant>
      <vt:variant>
        <vt:lpwstr>_Toc337553980</vt:lpwstr>
      </vt:variant>
      <vt:variant>
        <vt:i4>1376312</vt:i4>
      </vt:variant>
      <vt:variant>
        <vt:i4>86</vt:i4>
      </vt:variant>
      <vt:variant>
        <vt:i4>0</vt:i4>
      </vt:variant>
      <vt:variant>
        <vt:i4>5</vt:i4>
      </vt:variant>
      <vt:variant>
        <vt:lpwstr/>
      </vt:variant>
      <vt:variant>
        <vt:lpwstr>_Toc337553979</vt:lpwstr>
      </vt:variant>
      <vt:variant>
        <vt:i4>1376312</vt:i4>
      </vt:variant>
      <vt:variant>
        <vt:i4>80</vt:i4>
      </vt:variant>
      <vt:variant>
        <vt:i4>0</vt:i4>
      </vt:variant>
      <vt:variant>
        <vt:i4>5</vt:i4>
      </vt:variant>
      <vt:variant>
        <vt:lpwstr/>
      </vt:variant>
      <vt:variant>
        <vt:lpwstr>_Toc337553978</vt:lpwstr>
      </vt:variant>
      <vt:variant>
        <vt:i4>1376312</vt:i4>
      </vt:variant>
      <vt:variant>
        <vt:i4>74</vt:i4>
      </vt:variant>
      <vt:variant>
        <vt:i4>0</vt:i4>
      </vt:variant>
      <vt:variant>
        <vt:i4>5</vt:i4>
      </vt:variant>
      <vt:variant>
        <vt:lpwstr/>
      </vt:variant>
      <vt:variant>
        <vt:lpwstr>_Toc337553977</vt:lpwstr>
      </vt:variant>
      <vt:variant>
        <vt:i4>1376312</vt:i4>
      </vt:variant>
      <vt:variant>
        <vt:i4>68</vt:i4>
      </vt:variant>
      <vt:variant>
        <vt:i4>0</vt:i4>
      </vt:variant>
      <vt:variant>
        <vt:i4>5</vt:i4>
      </vt:variant>
      <vt:variant>
        <vt:lpwstr/>
      </vt:variant>
      <vt:variant>
        <vt:lpwstr>_Toc337553976</vt:lpwstr>
      </vt:variant>
      <vt:variant>
        <vt:i4>1376312</vt:i4>
      </vt:variant>
      <vt:variant>
        <vt:i4>62</vt:i4>
      </vt:variant>
      <vt:variant>
        <vt:i4>0</vt:i4>
      </vt:variant>
      <vt:variant>
        <vt:i4>5</vt:i4>
      </vt:variant>
      <vt:variant>
        <vt:lpwstr/>
      </vt:variant>
      <vt:variant>
        <vt:lpwstr>_Toc337553975</vt:lpwstr>
      </vt:variant>
      <vt:variant>
        <vt:i4>1376312</vt:i4>
      </vt:variant>
      <vt:variant>
        <vt:i4>56</vt:i4>
      </vt:variant>
      <vt:variant>
        <vt:i4>0</vt:i4>
      </vt:variant>
      <vt:variant>
        <vt:i4>5</vt:i4>
      </vt:variant>
      <vt:variant>
        <vt:lpwstr/>
      </vt:variant>
      <vt:variant>
        <vt:lpwstr>_Toc337553974</vt:lpwstr>
      </vt:variant>
      <vt:variant>
        <vt:i4>1376312</vt:i4>
      </vt:variant>
      <vt:variant>
        <vt:i4>50</vt:i4>
      </vt:variant>
      <vt:variant>
        <vt:i4>0</vt:i4>
      </vt:variant>
      <vt:variant>
        <vt:i4>5</vt:i4>
      </vt:variant>
      <vt:variant>
        <vt:lpwstr/>
      </vt:variant>
      <vt:variant>
        <vt:lpwstr>_Toc337553973</vt:lpwstr>
      </vt:variant>
      <vt:variant>
        <vt:i4>1376312</vt:i4>
      </vt:variant>
      <vt:variant>
        <vt:i4>44</vt:i4>
      </vt:variant>
      <vt:variant>
        <vt:i4>0</vt:i4>
      </vt:variant>
      <vt:variant>
        <vt:i4>5</vt:i4>
      </vt:variant>
      <vt:variant>
        <vt:lpwstr/>
      </vt:variant>
      <vt:variant>
        <vt:lpwstr>_Toc337553972</vt:lpwstr>
      </vt:variant>
      <vt:variant>
        <vt:i4>1376312</vt:i4>
      </vt:variant>
      <vt:variant>
        <vt:i4>38</vt:i4>
      </vt:variant>
      <vt:variant>
        <vt:i4>0</vt:i4>
      </vt:variant>
      <vt:variant>
        <vt:i4>5</vt:i4>
      </vt:variant>
      <vt:variant>
        <vt:lpwstr/>
      </vt:variant>
      <vt:variant>
        <vt:lpwstr>_Toc337553971</vt:lpwstr>
      </vt:variant>
      <vt:variant>
        <vt:i4>1376312</vt:i4>
      </vt:variant>
      <vt:variant>
        <vt:i4>32</vt:i4>
      </vt:variant>
      <vt:variant>
        <vt:i4>0</vt:i4>
      </vt:variant>
      <vt:variant>
        <vt:i4>5</vt:i4>
      </vt:variant>
      <vt:variant>
        <vt:lpwstr/>
      </vt:variant>
      <vt:variant>
        <vt:lpwstr>_Toc337553970</vt:lpwstr>
      </vt:variant>
      <vt:variant>
        <vt:i4>1310776</vt:i4>
      </vt:variant>
      <vt:variant>
        <vt:i4>26</vt:i4>
      </vt:variant>
      <vt:variant>
        <vt:i4>0</vt:i4>
      </vt:variant>
      <vt:variant>
        <vt:i4>5</vt:i4>
      </vt:variant>
      <vt:variant>
        <vt:lpwstr/>
      </vt:variant>
      <vt:variant>
        <vt:lpwstr>_Toc337553969</vt:lpwstr>
      </vt:variant>
      <vt:variant>
        <vt:i4>1310776</vt:i4>
      </vt:variant>
      <vt:variant>
        <vt:i4>20</vt:i4>
      </vt:variant>
      <vt:variant>
        <vt:i4>0</vt:i4>
      </vt:variant>
      <vt:variant>
        <vt:i4>5</vt:i4>
      </vt:variant>
      <vt:variant>
        <vt:lpwstr/>
      </vt:variant>
      <vt:variant>
        <vt:lpwstr>_Toc337553968</vt:lpwstr>
      </vt:variant>
      <vt:variant>
        <vt:i4>1310776</vt:i4>
      </vt:variant>
      <vt:variant>
        <vt:i4>14</vt:i4>
      </vt:variant>
      <vt:variant>
        <vt:i4>0</vt:i4>
      </vt:variant>
      <vt:variant>
        <vt:i4>5</vt:i4>
      </vt:variant>
      <vt:variant>
        <vt:lpwstr/>
      </vt:variant>
      <vt:variant>
        <vt:lpwstr>_Toc337553967</vt:lpwstr>
      </vt:variant>
      <vt:variant>
        <vt:i4>1310776</vt:i4>
      </vt:variant>
      <vt:variant>
        <vt:i4>8</vt:i4>
      </vt:variant>
      <vt:variant>
        <vt:i4>0</vt:i4>
      </vt:variant>
      <vt:variant>
        <vt:i4>5</vt:i4>
      </vt:variant>
      <vt:variant>
        <vt:lpwstr/>
      </vt:variant>
      <vt:variant>
        <vt:lpwstr>_Toc337553966</vt:lpwstr>
      </vt:variant>
      <vt:variant>
        <vt:i4>3670128</vt:i4>
      </vt:variant>
      <vt:variant>
        <vt:i4>3</vt:i4>
      </vt:variant>
      <vt:variant>
        <vt:i4>0</vt:i4>
      </vt:variant>
      <vt:variant>
        <vt:i4>5</vt:i4>
      </vt:variant>
      <vt:variant>
        <vt:lpwstr>http://www.ctc.ca.gov/commission/commissioners.html</vt:lpwstr>
      </vt:variant>
      <vt:variant>
        <vt:lpwstr/>
      </vt:variant>
      <vt:variant>
        <vt:i4>2490490</vt:i4>
      </vt:variant>
      <vt:variant>
        <vt:i4>0</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Teacher Preparation Programs</dc:title>
  <dc:subject/>
  <dc:creator>CCTC</dc:creator>
  <cp:keywords/>
  <cp:lastModifiedBy>Bernardo, Michelle</cp:lastModifiedBy>
  <cp:revision>15</cp:revision>
  <cp:lastPrinted>2023-05-22T20:46:00Z</cp:lastPrinted>
  <dcterms:created xsi:type="dcterms:W3CDTF">2023-05-22T20:35:00Z</dcterms:created>
  <dcterms:modified xsi:type="dcterms:W3CDTF">2023-05-22T20:46:00Z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55956400.0000000</vt:lpwstr>
  </property>
</Properties>
</file>