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08E84" w14:textId="77777777" w:rsidR="003C44F9" w:rsidRDefault="003C44F9" w:rsidP="00A165D3">
      <w:pPr>
        <w:jc w:val="center"/>
        <w:rPr>
          <w:b/>
          <w:szCs w:val="20"/>
        </w:rPr>
      </w:pPr>
    </w:p>
    <w:p w14:paraId="0588218B" w14:textId="77777777" w:rsidR="003C44F9" w:rsidRDefault="003C44F9" w:rsidP="00A165D3">
      <w:pPr>
        <w:jc w:val="center"/>
        <w:rPr>
          <w:b/>
          <w:szCs w:val="20"/>
        </w:rPr>
      </w:pPr>
    </w:p>
    <w:p w14:paraId="527B7ED4" w14:textId="77777777" w:rsidR="00035349" w:rsidRPr="00627697" w:rsidRDefault="003758A7" w:rsidP="00A165D3">
      <w:pPr>
        <w:jc w:val="center"/>
        <w:rPr>
          <w:b/>
          <w:szCs w:val="20"/>
        </w:rPr>
      </w:pPr>
      <w:r>
        <w:rPr>
          <w:b/>
          <w:szCs w:val="20"/>
        </w:rPr>
        <w:t>[</w:t>
      </w:r>
      <w:r w:rsidR="003C44F9">
        <w:rPr>
          <w:b/>
          <w:szCs w:val="20"/>
        </w:rPr>
        <w:t>Institution</w:t>
      </w:r>
      <w:r>
        <w:rPr>
          <w:b/>
          <w:szCs w:val="20"/>
        </w:rPr>
        <w:t>]</w:t>
      </w:r>
    </w:p>
    <w:p w14:paraId="66BD60BB" w14:textId="77777777" w:rsidR="003758A7" w:rsidRPr="00627697" w:rsidRDefault="003758A7" w:rsidP="003758A7">
      <w:pPr>
        <w:jc w:val="center"/>
        <w:rPr>
          <w:b/>
          <w:szCs w:val="20"/>
        </w:rPr>
      </w:pPr>
      <w:r>
        <w:rPr>
          <w:b/>
          <w:szCs w:val="20"/>
        </w:rPr>
        <w:t>[Street Address]</w:t>
      </w:r>
      <w:r>
        <w:rPr>
          <w:b/>
          <w:szCs w:val="20"/>
        </w:rPr>
        <w:br/>
        <w:t>[City,</w:t>
      </w:r>
      <w:r w:rsidR="003C44F9">
        <w:rPr>
          <w:b/>
          <w:szCs w:val="20"/>
        </w:rPr>
        <w:t xml:space="preserve"> </w:t>
      </w:r>
      <w:r>
        <w:rPr>
          <w:b/>
          <w:szCs w:val="20"/>
        </w:rPr>
        <w:t>St Zip code</w:t>
      </w:r>
    </w:p>
    <w:p w14:paraId="0A34DE59" w14:textId="77777777" w:rsidR="00035349" w:rsidRPr="00627697" w:rsidRDefault="00035349" w:rsidP="00A165D3">
      <w:pPr>
        <w:jc w:val="center"/>
        <w:rPr>
          <w:b/>
          <w:szCs w:val="20"/>
        </w:rPr>
      </w:pPr>
    </w:p>
    <w:p w14:paraId="2942ABD7" w14:textId="77777777" w:rsidR="00035349" w:rsidRPr="00627697" w:rsidRDefault="00035349" w:rsidP="00A165D3">
      <w:pPr>
        <w:jc w:val="center"/>
        <w:rPr>
          <w:b/>
          <w:szCs w:val="20"/>
        </w:rPr>
      </w:pPr>
      <w:r w:rsidRPr="00627697">
        <w:rPr>
          <w:b/>
          <w:szCs w:val="20"/>
        </w:rPr>
        <w:t>Designated Subjects Career/Technical Teach Credential</w:t>
      </w:r>
      <w:r w:rsidRPr="00627697">
        <w:rPr>
          <w:b/>
          <w:szCs w:val="20"/>
        </w:rPr>
        <w:br/>
        <w:t>Educator Preparation Program</w:t>
      </w:r>
    </w:p>
    <w:p w14:paraId="7DC710B9" w14:textId="77777777" w:rsidR="00035349" w:rsidRPr="00627697" w:rsidRDefault="00035349" w:rsidP="00A165D3">
      <w:pPr>
        <w:jc w:val="center"/>
        <w:rPr>
          <w:b/>
          <w:szCs w:val="20"/>
        </w:rPr>
      </w:pPr>
      <w:r w:rsidRPr="00627697">
        <w:rPr>
          <w:b/>
          <w:szCs w:val="20"/>
        </w:rPr>
        <w:t>Presented</w:t>
      </w:r>
    </w:p>
    <w:p w14:paraId="58D97D32" w14:textId="77777777" w:rsidR="00035349" w:rsidRPr="00627697" w:rsidRDefault="003758A7" w:rsidP="00A165D3">
      <w:pPr>
        <w:jc w:val="center"/>
        <w:rPr>
          <w:b/>
          <w:szCs w:val="20"/>
        </w:rPr>
      </w:pPr>
      <w:r>
        <w:rPr>
          <w:b/>
          <w:szCs w:val="20"/>
        </w:rPr>
        <w:t>[Date]</w:t>
      </w:r>
    </w:p>
    <w:p w14:paraId="2AA4C7E6" w14:textId="77777777" w:rsidR="00035349" w:rsidRPr="00627697" w:rsidRDefault="00035349" w:rsidP="00A165D3">
      <w:pPr>
        <w:jc w:val="center"/>
        <w:rPr>
          <w:b/>
          <w:szCs w:val="20"/>
        </w:rPr>
      </w:pPr>
    </w:p>
    <w:p w14:paraId="0E958924" w14:textId="77777777" w:rsidR="00035349" w:rsidRDefault="00035349" w:rsidP="00A165D3">
      <w:pPr>
        <w:jc w:val="center"/>
        <w:rPr>
          <w:b/>
          <w:szCs w:val="20"/>
        </w:rPr>
      </w:pPr>
      <w:r w:rsidRPr="00627697">
        <w:rPr>
          <w:b/>
          <w:szCs w:val="20"/>
        </w:rPr>
        <w:t>By:</w:t>
      </w:r>
    </w:p>
    <w:p w14:paraId="19BAE19A" w14:textId="77777777" w:rsidR="003758A7" w:rsidRDefault="003758A7" w:rsidP="00A165D3">
      <w:pPr>
        <w:jc w:val="center"/>
        <w:rPr>
          <w:b/>
          <w:szCs w:val="20"/>
        </w:rPr>
      </w:pPr>
      <w:r>
        <w:rPr>
          <w:b/>
          <w:szCs w:val="20"/>
        </w:rPr>
        <w:t>[List faculty who contributed to document]</w:t>
      </w:r>
    </w:p>
    <w:p w14:paraId="316D9B47" w14:textId="77777777" w:rsidR="003758A7" w:rsidRDefault="003758A7" w:rsidP="00A165D3">
      <w:pPr>
        <w:jc w:val="center"/>
        <w:rPr>
          <w:b/>
          <w:szCs w:val="20"/>
        </w:rPr>
      </w:pPr>
      <w:r>
        <w:rPr>
          <w:b/>
          <w:szCs w:val="20"/>
        </w:rPr>
        <w:t>[Name]</w:t>
      </w:r>
      <w:r>
        <w:rPr>
          <w:b/>
          <w:szCs w:val="20"/>
        </w:rPr>
        <w:br/>
        <w:t>[Title]</w:t>
      </w:r>
    </w:p>
    <w:p w14:paraId="54EAAD76" w14:textId="77777777" w:rsidR="003758A7" w:rsidRPr="00627697" w:rsidRDefault="003758A7" w:rsidP="003758A7">
      <w:pPr>
        <w:jc w:val="center"/>
        <w:rPr>
          <w:b/>
          <w:szCs w:val="20"/>
        </w:rPr>
      </w:pPr>
      <w:r>
        <w:rPr>
          <w:b/>
          <w:szCs w:val="20"/>
        </w:rPr>
        <w:t>[Name]</w:t>
      </w:r>
      <w:r>
        <w:rPr>
          <w:b/>
          <w:szCs w:val="20"/>
        </w:rPr>
        <w:br/>
        <w:t>[Title]</w:t>
      </w:r>
    </w:p>
    <w:p w14:paraId="4A0D6A53" w14:textId="77777777" w:rsidR="003758A7" w:rsidRPr="00627697" w:rsidRDefault="003758A7" w:rsidP="003758A7">
      <w:pPr>
        <w:jc w:val="center"/>
        <w:rPr>
          <w:b/>
          <w:szCs w:val="20"/>
        </w:rPr>
      </w:pPr>
      <w:r>
        <w:rPr>
          <w:b/>
          <w:szCs w:val="20"/>
        </w:rPr>
        <w:t>[Name]</w:t>
      </w:r>
      <w:r>
        <w:rPr>
          <w:b/>
          <w:szCs w:val="20"/>
        </w:rPr>
        <w:br/>
        <w:t>[Title]</w:t>
      </w:r>
    </w:p>
    <w:p w14:paraId="7FB4BF8D" w14:textId="77777777" w:rsidR="003758A7" w:rsidRPr="00627697" w:rsidRDefault="003758A7" w:rsidP="003758A7">
      <w:pPr>
        <w:jc w:val="center"/>
        <w:rPr>
          <w:b/>
          <w:szCs w:val="20"/>
        </w:rPr>
      </w:pPr>
      <w:r>
        <w:rPr>
          <w:b/>
          <w:szCs w:val="20"/>
        </w:rPr>
        <w:t>[Name]</w:t>
      </w:r>
      <w:r>
        <w:rPr>
          <w:b/>
          <w:szCs w:val="20"/>
        </w:rPr>
        <w:br/>
        <w:t>[Title]</w:t>
      </w:r>
    </w:p>
    <w:p w14:paraId="3C3C9374" w14:textId="77777777" w:rsidR="00035349" w:rsidRPr="00266623" w:rsidRDefault="00035349" w:rsidP="001F6E30">
      <w:pPr>
        <w:jc w:val="center"/>
        <w:rPr>
          <w:rStyle w:val="Heading7Char"/>
          <w:rFonts w:ascii="Times New Roman" w:hAnsi="Times New Roman"/>
          <w:b/>
          <w:i w:val="0"/>
          <w:iCs w:val="0"/>
          <w:szCs w:val="20"/>
          <w:lang w:bidi="ar-SA"/>
        </w:rPr>
      </w:pPr>
      <w:r w:rsidRPr="001F6E30">
        <w:rPr>
          <w:b/>
          <w:color w:val="C00000"/>
          <w:szCs w:val="20"/>
          <w:lang w:bidi="ar-SA"/>
        </w:rPr>
        <w:lastRenderedPageBreak/>
        <w:br w:type="page"/>
      </w:r>
    </w:p>
    <w:p w14:paraId="7AF1A5E6" w14:textId="77777777" w:rsidR="00A165D3" w:rsidRPr="00627697" w:rsidRDefault="00A165D3" w:rsidP="00C724B0">
      <w:pPr>
        <w:pStyle w:val="TOCHeading"/>
      </w:pPr>
      <w:r w:rsidRPr="00627697">
        <w:lastRenderedPageBreak/>
        <w:t>Table of Contents</w:t>
      </w:r>
    </w:p>
    <w:p w14:paraId="237663D0" w14:textId="77777777" w:rsidR="005A51D5" w:rsidRDefault="006A60A1">
      <w:pPr>
        <w:pStyle w:val="TOC1"/>
        <w:tabs>
          <w:tab w:val="right" w:leader="dot" w:pos="12950"/>
        </w:tabs>
        <w:rPr>
          <w:noProof/>
          <w:lang w:bidi="ar-SA"/>
        </w:rPr>
      </w:pPr>
      <w:r w:rsidRPr="00627697">
        <w:rPr>
          <w:szCs w:val="20"/>
        </w:rPr>
        <w:fldChar w:fldCharType="begin"/>
      </w:r>
      <w:r w:rsidR="00A165D3" w:rsidRPr="00627697">
        <w:rPr>
          <w:szCs w:val="20"/>
        </w:rPr>
        <w:instrText xml:space="preserve"> TOC \o "1-3" \h \z \u </w:instrText>
      </w:r>
      <w:r w:rsidRPr="00627697">
        <w:rPr>
          <w:szCs w:val="20"/>
        </w:rPr>
        <w:fldChar w:fldCharType="separate"/>
      </w:r>
      <w:hyperlink w:anchor="_Toc262297393" w:history="1">
        <w:r w:rsidR="005A51D5" w:rsidRPr="00A1541B">
          <w:rPr>
            <w:rStyle w:val="Hyperlink"/>
            <w:noProof/>
          </w:rPr>
          <w:t>[Institution]</w:t>
        </w:r>
        <w:r w:rsidR="005A51D5">
          <w:rPr>
            <w:noProof/>
            <w:webHidden/>
          </w:rPr>
          <w:tab/>
        </w:r>
        <w:r>
          <w:rPr>
            <w:noProof/>
            <w:webHidden/>
          </w:rPr>
          <w:fldChar w:fldCharType="begin"/>
        </w:r>
        <w:r w:rsidR="005A51D5">
          <w:rPr>
            <w:noProof/>
            <w:webHidden/>
          </w:rPr>
          <w:instrText xml:space="preserve"> PAGEREF _Toc262297393 \h </w:instrText>
        </w:r>
        <w:r>
          <w:rPr>
            <w:noProof/>
            <w:webHidden/>
          </w:rPr>
        </w:r>
        <w:r>
          <w:rPr>
            <w:noProof/>
            <w:webHidden/>
          </w:rPr>
          <w:fldChar w:fldCharType="separate"/>
        </w:r>
        <w:r w:rsidR="005A51D5">
          <w:rPr>
            <w:noProof/>
            <w:webHidden/>
          </w:rPr>
          <w:t>5</w:t>
        </w:r>
        <w:r>
          <w:rPr>
            <w:noProof/>
            <w:webHidden/>
          </w:rPr>
          <w:fldChar w:fldCharType="end"/>
        </w:r>
      </w:hyperlink>
    </w:p>
    <w:p w14:paraId="0FDFF4C3" w14:textId="77777777" w:rsidR="005A51D5" w:rsidRDefault="00F3583A">
      <w:pPr>
        <w:pStyle w:val="TOC2"/>
        <w:tabs>
          <w:tab w:val="right" w:leader="dot" w:pos="12950"/>
        </w:tabs>
        <w:rPr>
          <w:noProof/>
          <w:lang w:bidi="ar-SA"/>
        </w:rPr>
      </w:pPr>
      <w:hyperlink w:anchor="_Toc262297394" w:history="1">
        <w:r w:rsidR="005A51D5" w:rsidRPr="00A1541B">
          <w:rPr>
            <w:rStyle w:val="Hyperlink"/>
            <w:noProof/>
          </w:rPr>
          <w:t>Mission</w:t>
        </w:r>
        <w:r w:rsidR="005A51D5">
          <w:rPr>
            <w:noProof/>
            <w:webHidden/>
          </w:rPr>
          <w:tab/>
        </w:r>
        <w:r w:rsidR="006A60A1">
          <w:rPr>
            <w:noProof/>
            <w:webHidden/>
          </w:rPr>
          <w:fldChar w:fldCharType="begin"/>
        </w:r>
        <w:r w:rsidR="005A51D5">
          <w:rPr>
            <w:noProof/>
            <w:webHidden/>
          </w:rPr>
          <w:instrText xml:space="preserve"> PAGEREF _Toc262297394 \h </w:instrText>
        </w:r>
        <w:r w:rsidR="006A60A1">
          <w:rPr>
            <w:noProof/>
            <w:webHidden/>
          </w:rPr>
        </w:r>
        <w:r w:rsidR="006A60A1">
          <w:rPr>
            <w:noProof/>
            <w:webHidden/>
          </w:rPr>
          <w:fldChar w:fldCharType="separate"/>
        </w:r>
        <w:r w:rsidR="005A51D5">
          <w:rPr>
            <w:noProof/>
            <w:webHidden/>
          </w:rPr>
          <w:t>5</w:t>
        </w:r>
        <w:r w:rsidR="006A60A1">
          <w:rPr>
            <w:noProof/>
            <w:webHidden/>
          </w:rPr>
          <w:fldChar w:fldCharType="end"/>
        </w:r>
      </w:hyperlink>
    </w:p>
    <w:p w14:paraId="1DBD9A49" w14:textId="77777777" w:rsidR="005A51D5" w:rsidRDefault="00F3583A">
      <w:pPr>
        <w:pStyle w:val="TOC2"/>
        <w:tabs>
          <w:tab w:val="right" w:leader="dot" w:pos="12950"/>
        </w:tabs>
        <w:rPr>
          <w:noProof/>
          <w:lang w:bidi="ar-SA"/>
        </w:rPr>
      </w:pPr>
      <w:hyperlink w:anchor="_Toc262297395" w:history="1">
        <w:r w:rsidR="005A51D5" w:rsidRPr="00A1541B">
          <w:rPr>
            <w:rStyle w:val="Hyperlink"/>
            <w:noProof/>
          </w:rPr>
          <w:t>Vision</w:t>
        </w:r>
        <w:r w:rsidR="005A51D5">
          <w:rPr>
            <w:noProof/>
            <w:webHidden/>
          </w:rPr>
          <w:tab/>
        </w:r>
        <w:r w:rsidR="006A60A1">
          <w:rPr>
            <w:noProof/>
            <w:webHidden/>
          </w:rPr>
          <w:fldChar w:fldCharType="begin"/>
        </w:r>
        <w:r w:rsidR="005A51D5">
          <w:rPr>
            <w:noProof/>
            <w:webHidden/>
          </w:rPr>
          <w:instrText xml:space="preserve"> PAGEREF _Toc262297395 \h </w:instrText>
        </w:r>
        <w:r w:rsidR="006A60A1">
          <w:rPr>
            <w:noProof/>
            <w:webHidden/>
          </w:rPr>
        </w:r>
        <w:r w:rsidR="006A60A1">
          <w:rPr>
            <w:noProof/>
            <w:webHidden/>
          </w:rPr>
          <w:fldChar w:fldCharType="separate"/>
        </w:r>
        <w:r w:rsidR="005A51D5">
          <w:rPr>
            <w:noProof/>
            <w:webHidden/>
          </w:rPr>
          <w:t>5</w:t>
        </w:r>
        <w:r w:rsidR="006A60A1">
          <w:rPr>
            <w:noProof/>
            <w:webHidden/>
          </w:rPr>
          <w:fldChar w:fldCharType="end"/>
        </w:r>
      </w:hyperlink>
    </w:p>
    <w:p w14:paraId="0DD493E7" w14:textId="77777777" w:rsidR="005A51D5" w:rsidRDefault="00F3583A">
      <w:pPr>
        <w:pStyle w:val="TOC2"/>
        <w:tabs>
          <w:tab w:val="right" w:leader="dot" w:pos="12950"/>
        </w:tabs>
        <w:rPr>
          <w:noProof/>
          <w:lang w:bidi="ar-SA"/>
        </w:rPr>
      </w:pPr>
      <w:hyperlink w:anchor="_Toc262297396" w:history="1">
        <w:r w:rsidR="005A51D5" w:rsidRPr="00A1541B">
          <w:rPr>
            <w:rStyle w:val="Hyperlink"/>
            <w:noProof/>
          </w:rPr>
          <w:t>Philosophy</w:t>
        </w:r>
        <w:r w:rsidR="005A51D5">
          <w:rPr>
            <w:noProof/>
            <w:webHidden/>
          </w:rPr>
          <w:tab/>
        </w:r>
        <w:r w:rsidR="006A60A1">
          <w:rPr>
            <w:noProof/>
            <w:webHidden/>
          </w:rPr>
          <w:fldChar w:fldCharType="begin"/>
        </w:r>
        <w:r w:rsidR="005A51D5">
          <w:rPr>
            <w:noProof/>
            <w:webHidden/>
          </w:rPr>
          <w:instrText xml:space="preserve"> PAGEREF _Toc262297396 \h </w:instrText>
        </w:r>
        <w:r w:rsidR="006A60A1">
          <w:rPr>
            <w:noProof/>
            <w:webHidden/>
          </w:rPr>
        </w:r>
        <w:r w:rsidR="006A60A1">
          <w:rPr>
            <w:noProof/>
            <w:webHidden/>
          </w:rPr>
          <w:fldChar w:fldCharType="separate"/>
        </w:r>
        <w:r w:rsidR="005A51D5">
          <w:rPr>
            <w:noProof/>
            <w:webHidden/>
          </w:rPr>
          <w:t>5</w:t>
        </w:r>
        <w:r w:rsidR="006A60A1">
          <w:rPr>
            <w:noProof/>
            <w:webHidden/>
          </w:rPr>
          <w:fldChar w:fldCharType="end"/>
        </w:r>
      </w:hyperlink>
    </w:p>
    <w:p w14:paraId="2F3AACEE" w14:textId="77777777" w:rsidR="005A51D5" w:rsidRDefault="00F3583A">
      <w:pPr>
        <w:pStyle w:val="TOC2"/>
        <w:tabs>
          <w:tab w:val="right" w:leader="dot" w:pos="12950"/>
        </w:tabs>
        <w:rPr>
          <w:noProof/>
          <w:lang w:bidi="ar-SA"/>
        </w:rPr>
      </w:pPr>
      <w:hyperlink w:anchor="_Toc262297397" w:history="1">
        <w:r w:rsidR="005A51D5" w:rsidRPr="00A1541B">
          <w:rPr>
            <w:rStyle w:val="Hyperlink"/>
            <w:noProof/>
          </w:rPr>
          <w:t>Pledge</w:t>
        </w:r>
        <w:r w:rsidR="005A51D5">
          <w:rPr>
            <w:noProof/>
            <w:webHidden/>
          </w:rPr>
          <w:tab/>
        </w:r>
        <w:r w:rsidR="006A60A1">
          <w:rPr>
            <w:noProof/>
            <w:webHidden/>
          </w:rPr>
          <w:fldChar w:fldCharType="begin"/>
        </w:r>
        <w:r w:rsidR="005A51D5">
          <w:rPr>
            <w:noProof/>
            <w:webHidden/>
          </w:rPr>
          <w:instrText xml:space="preserve"> PAGEREF _Toc262297397 \h </w:instrText>
        </w:r>
        <w:r w:rsidR="006A60A1">
          <w:rPr>
            <w:noProof/>
            <w:webHidden/>
          </w:rPr>
        </w:r>
        <w:r w:rsidR="006A60A1">
          <w:rPr>
            <w:noProof/>
            <w:webHidden/>
          </w:rPr>
          <w:fldChar w:fldCharType="separate"/>
        </w:r>
        <w:r w:rsidR="005A51D5">
          <w:rPr>
            <w:noProof/>
            <w:webHidden/>
          </w:rPr>
          <w:t>5</w:t>
        </w:r>
        <w:r w:rsidR="006A60A1">
          <w:rPr>
            <w:noProof/>
            <w:webHidden/>
          </w:rPr>
          <w:fldChar w:fldCharType="end"/>
        </w:r>
      </w:hyperlink>
    </w:p>
    <w:p w14:paraId="79090026" w14:textId="77777777" w:rsidR="005A51D5" w:rsidRDefault="00F3583A">
      <w:pPr>
        <w:pStyle w:val="TOC2"/>
        <w:tabs>
          <w:tab w:val="right" w:leader="dot" w:pos="12950"/>
        </w:tabs>
        <w:rPr>
          <w:noProof/>
          <w:lang w:bidi="ar-SA"/>
        </w:rPr>
      </w:pPr>
      <w:hyperlink w:anchor="_Toc262297398" w:history="1">
        <w:r w:rsidR="005A51D5" w:rsidRPr="00A1541B">
          <w:rPr>
            <w:rStyle w:val="Hyperlink"/>
            <w:noProof/>
          </w:rPr>
          <w:t>Code of Ethics</w:t>
        </w:r>
        <w:r w:rsidR="005A51D5">
          <w:rPr>
            <w:noProof/>
            <w:webHidden/>
          </w:rPr>
          <w:tab/>
        </w:r>
        <w:r w:rsidR="006A60A1">
          <w:rPr>
            <w:noProof/>
            <w:webHidden/>
          </w:rPr>
          <w:fldChar w:fldCharType="begin"/>
        </w:r>
        <w:r w:rsidR="005A51D5">
          <w:rPr>
            <w:noProof/>
            <w:webHidden/>
          </w:rPr>
          <w:instrText xml:space="preserve"> PAGEREF _Toc262297398 \h </w:instrText>
        </w:r>
        <w:r w:rsidR="006A60A1">
          <w:rPr>
            <w:noProof/>
            <w:webHidden/>
          </w:rPr>
        </w:r>
        <w:r w:rsidR="006A60A1">
          <w:rPr>
            <w:noProof/>
            <w:webHidden/>
          </w:rPr>
          <w:fldChar w:fldCharType="separate"/>
        </w:r>
        <w:r w:rsidR="005A51D5">
          <w:rPr>
            <w:noProof/>
            <w:webHidden/>
          </w:rPr>
          <w:t>5</w:t>
        </w:r>
        <w:r w:rsidR="006A60A1">
          <w:rPr>
            <w:noProof/>
            <w:webHidden/>
          </w:rPr>
          <w:fldChar w:fldCharType="end"/>
        </w:r>
      </w:hyperlink>
    </w:p>
    <w:p w14:paraId="69579BE7" w14:textId="77777777" w:rsidR="005A51D5" w:rsidRDefault="00F3583A">
      <w:pPr>
        <w:pStyle w:val="TOC1"/>
        <w:tabs>
          <w:tab w:val="right" w:leader="dot" w:pos="12950"/>
        </w:tabs>
        <w:rPr>
          <w:noProof/>
          <w:lang w:bidi="ar-SA"/>
        </w:rPr>
      </w:pPr>
      <w:hyperlink w:anchor="_Toc262297399" w:history="1">
        <w:r w:rsidR="005A51D5" w:rsidRPr="00A1541B">
          <w:rPr>
            <w:rStyle w:val="Hyperlink"/>
            <w:noProof/>
          </w:rPr>
          <w:t>[Type of Credential Program]</w:t>
        </w:r>
        <w:r w:rsidR="005A51D5">
          <w:rPr>
            <w:noProof/>
            <w:webHidden/>
          </w:rPr>
          <w:tab/>
        </w:r>
        <w:r w:rsidR="006A60A1">
          <w:rPr>
            <w:noProof/>
            <w:webHidden/>
          </w:rPr>
          <w:fldChar w:fldCharType="begin"/>
        </w:r>
        <w:r w:rsidR="005A51D5">
          <w:rPr>
            <w:noProof/>
            <w:webHidden/>
          </w:rPr>
          <w:instrText xml:space="preserve"> PAGEREF _Toc262297399 \h </w:instrText>
        </w:r>
        <w:r w:rsidR="006A60A1">
          <w:rPr>
            <w:noProof/>
            <w:webHidden/>
          </w:rPr>
        </w:r>
        <w:r w:rsidR="006A60A1">
          <w:rPr>
            <w:noProof/>
            <w:webHidden/>
          </w:rPr>
          <w:fldChar w:fldCharType="separate"/>
        </w:r>
        <w:r w:rsidR="005A51D5">
          <w:rPr>
            <w:noProof/>
            <w:webHidden/>
          </w:rPr>
          <w:t>6</w:t>
        </w:r>
        <w:r w:rsidR="006A60A1">
          <w:rPr>
            <w:noProof/>
            <w:webHidden/>
          </w:rPr>
          <w:fldChar w:fldCharType="end"/>
        </w:r>
      </w:hyperlink>
    </w:p>
    <w:p w14:paraId="6104CE8C" w14:textId="77777777" w:rsidR="005A51D5" w:rsidRDefault="00F3583A">
      <w:pPr>
        <w:pStyle w:val="TOC2"/>
        <w:tabs>
          <w:tab w:val="right" w:leader="dot" w:pos="12950"/>
        </w:tabs>
        <w:rPr>
          <w:noProof/>
          <w:lang w:bidi="ar-SA"/>
        </w:rPr>
      </w:pPr>
      <w:hyperlink w:anchor="_Toc262297400" w:history="1">
        <w:r w:rsidR="005A51D5" w:rsidRPr="00A1541B">
          <w:rPr>
            <w:rStyle w:val="Hyperlink"/>
            <w:noProof/>
          </w:rPr>
          <w:t>Introduction</w:t>
        </w:r>
        <w:r w:rsidR="005A51D5">
          <w:rPr>
            <w:noProof/>
            <w:webHidden/>
          </w:rPr>
          <w:tab/>
        </w:r>
        <w:r w:rsidR="006A60A1">
          <w:rPr>
            <w:noProof/>
            <w:webHidden/>
          </w:rPr>
          <w:fldChar w:fldCharType="begin"/>
        </w:r>
        <w:r w:rsidR="005A51D5">
          <w:rPr>
            <w:noProof/>
            <w:webHidden/>
          </w:rPr>
          <w:instrText xml:space="preserve"> PAGEREF _Toc262297400 \h </w:instrText>
        </w:r>
        <w:r w:rsidR="006A60A1">
          <w:rPr>
            <w:noProof/>
            <w:webHidden/>
          </w:rPr>
        </w:r>
        <w:r w:rsidR="006A60A1">
          <w:rPr>
            <w:noProof/>
            <w:webHidden/>
          </w:rPr>
          <w:fldChar w:fldCharType="separate"/>
        </w:r>
        <w:r w:rsidR="005A51D5">
          <w:rPr>
            <w:noProof/>
            <w:webHidden/>
          </w:rPr>
          <w:t>6</w:t>
        </w:r>
        <w:r w:rsidR="006A60A1">
          <w:rPr>
            <w:noProof/>
            <w:webHidden/>
          </w:rPr>
          <w:fldChar w:fldCharType="end"/>
        </w:r>
      </w:hyperlink>
    </w:p>
    <w:p w14:paraId="1074C4B4" w14:textId="77777777" w:rsidR="005A51D5" w:rsidRDefault="00F3583A">
      <w:pPr>
        <w:pStyle w:val="TOC2"/>
        <w:tabs>
          <w:tab w:val="right" w:leader="dot" w:pos="12950"/>
        </w:tabs>
        <w:rPr>
          <w:noProof/>
          <w:lang w:bidi="ar-SA"/>
        </w:rPr>
      </w:pPr>
      <w:hyperlink w:anchor="_Toc262297401" w:history="1">
        <w:r w:rsidR="005A51D5" w:rsidRPr="00A1541B">
          <w:rPr>
            <w:rStyle w:val="Hyperlink"/>
            <w:noProof/>
          </w:rPr>
          <w:t>Course Sequencing</w:t>
        </w:r>
        <w:r w:rsidR="005A51D5">
          <w:rPr>
            <w:noProof/>
            <w:webHidden/>
          </w:rPr>
          <w:tab/>
        </w:r>
        <w:r w:rsidR="006A60A1">
          <w:rPr>
            <w:noProof/>
            <w:webHidden/>
          </w:rPr>
          <w:fldChar w:fldCharType="begin"/>
        </w:r>
        <w:r w:rsidR="005A51D5">
          <w:rPr>
            <w:noProof/>
            <w:webHidden/>
          </w:rPr>
          <w:instrText xml:space="preserve"> PAGEREF _Toc262297401 \h </w:instrText>
        </w:r>
        <w:r w:rsidR="006A60A1">
          <w:rPr>
            <w:noProof/>
            <w:webHidden/>
          </w:rPr>
        </w:r>
        <w:r w:rsidR="006A60A1">
          <w:rPr>
            <w:noProof/>
            <w:webHidden/>
          </w:rPr>
          <w:fldChar w:fldCharType="separate"/>
        </w:r>
        <w:r w:rsidR="005A51D5">
          <w:rPr>
            <w:noProof/>
            <w:webHidden/>
          </w:rPr>
          <w:t>6</w:t>
        </w:r>
        <w:r w:rsidR="006A60A1">
          <w:rPr>
            <w:noProof/>
            <w:webHidden/>
          </w:rPr>
          <w:fldChar w:fldCharType="end"/>
        </w:r>
      </w:hyperlink>
    </w:p>
    <w:p w14:paraId="6AAAD9D2" w14:textId="77777777" w:rsidR="005A51D5" w:rsidRDefault="00F3583A">
      <w:pPr>
        <w:pStyle w:val="TOC2"/>
        <w:tabs>
          <w:tab w:val="right" w:leader="dot" w:pos="12950"/>
        </w:tabs>
        <w:rPr>
          <w:noProof/>
          <w:lang w:bidi="ar-SA"/>
        </w:rPr>
      </w:pPr>
      <w:hyperlink w:anchor="_Toc262297402" w:history="1">
        <w:r w:rsidR="005A51D5" w:rsidRPr="00A1541B">
          <w:rPr>
            <w:rStyle w:val="Hyperlink"/>
            <w:noProof/>
          </w:rPr>
          <w:t>Program Outline</w:t>
        </w:r>
        <w:r w:rsidR="005A51D5">
          <w:rPr>
            <w:noProof/>
            <w:webHidden/>
          </w:rPr>
          <w:tab/>
        </w:r>
        <w:r w:rsidR="006A60A1">
          <w:rPr>
            <w:noProof/>
            <w:webHidden/>
          </w:rPr>
          <w:fldChar w:fldCharType="begin"/>
        </w:r>
        <w:r w:rsidR="005A51D5">
          <w:rPr>
            <w:noProof/>
            <w:webHidden/>
          </w:rPr>
          <w:instrText xml:space="preserve"> PAGEREF _Toc262297402 \h </w:instrText>
        </w:r>
        <w:r w:rsidR="006A60A1">
          <w:rPr>
            <w:noProof/>
            <w:webHidden/>
          </w:rPr>
        </w:r>
        <w:r w:rsidR="006A60A1">
          <w:rPr>
            <w:noProof/>
            <w:webHidden/>
          </w:rPr>
          <w:fldChar w:fldCharType="separate"/>
        </w:r>
        <w:r w:rsidR="005A51D5">
          <w:rPr>
            <w:noProof/>
            <w:webHidden/>
          </w:rPr>
          <w:t>7</w:t>
        </w:r>
        <w:r w:rsidR="006A60A1">
          <w:rPr>
            <w:noProof/>
            <w:webHidden/>
          </w:rPr>
          <w:fldChar w:fldCharType="end"/>
        </w:r>
      </w:hyperlink>
    </w:p>
    <w:p w14:paraId="3773427A" w14:textId="77777777" w:rsidR="005A51D5" w:rsidRDefault="00F3583A">
      <w:pPr>
        <w:pStyle w:val="TOC1"/>
        <w:tabs>
          <w:tab w:val="right" w:leader="dot" w:pos="12950"/>
        </w:tabs>
        <w:rPr>
          <w:noProof/>
          <w:lang w:bidi="ar-SA"/>
        </w:rPr>
      </w:pPr>
      <w:hyperlink w:anchor="_Toc262297403" w:history="1">
        <w:r w:rsidR="005A51D5" w:rsidRPr="00A1541B">
          <w:rPr>
            <w:rStyle w:val="Hyperlink"/>
            <w:noProof/>
          </w:rPr>
          <w:t>Preconditions for All Professional Preparation Programs</w:t>
        </w:r>
        <w:r w:rsidR="005A51D5">
          <w:rPr>
            <w:noProof/>
            <w:webHidden/>
          </w:rPr>
          <w:tab/>
        </w:r>
        <w:r w:rsidR="006A60A1">
          <w:rPr>
            <w:noProof/>
            <w:webHidden/>
          </w:rPr>
          <w:fldChar w:fldCharType="begin"/>
        </w:r>
        <w:r w:rsidR="005A51D5">
          <w:rPr>
            <w:noProof/>
            <w:webHidden/>
          </w:rPr>
          <w:instrText xml:space="preserve"> PAGEREF _Toc262297403 \h </w:instrText>
        </w:r>
        <w:r w:rsidR="006A60A1">
          <w:rPr>
            <w:noProof/>
            <w:webHidden/>
          </w:rPr>
        </w:r>
        <w:r w:rsidR="006A60A1">
          <w:rPr>
            <w:noProof/>
            <w:webHidden/>
          </w:rPr>
          <w:fldChar w:fldCharType="separate"/>
        </w:r>
        <w:r w:rsidR="005A51D5">
          <w:rPr>
            <w:noProof/>
            <w:webHidden/>
          </w:rPr>
          <w:t>8</w:t>
        </w:r>
        <w:r w:rsidR="006A60A1">
          <w:rPr>
            <w:noProof/>
            <w:webHidden/>
          </w:rPr>
          <w:fldChar w:fldCharType="end"/>
        </w:r>
      </w:hyperlink>
    </w:p>
    <w:p w14:paraId="5BCA1F74" w14:textId="77777777" w:rsidR="005A51D5" w:rsidRDefault="00F3583A">
      <w:pPr>
        <w:pStyle w:val="TOC2"/>
        <w:tabs>
          <w:tab w:val="right" w:leader="dot" w:pos="12950"/>
        </w:tabs>
        <w:rPr>
          <w:noProof/>
          <w:lang w:bidi="ar-SA"/>
        </w:rPr>
      </w:pPr>
      <w:hyperlink w:anchor="_Toc262297404" w:history="1">
        <w:r w:rsidR="005A51D5" w:rsidRPr="00A1541B">
          <w:rPr>
            <w:rStyle w:val="Hyperlink"/>
            <w:noProof/>
          </w:rPr>
          <w:t>General Preconditions Established by the Commission</w:t>
        </w:r>
        <w:r w:rsidR="005A51D5">
          <w:rPr>
            <w:noProof/>
            <w:webHidden/>
          </w:rPr>
          <w:tab/>
        </w:r>
        <w:r w:rsidR="006A60A1">
          <w:rPr>
            <w:noProof/>
            <w:webHidden/>
          </w:rPr>
          <w:fldChar w:fldCharType="begin"/>
        </w:r>
        <w:r w:rsidR="005A51D5">
          <w:rPr>
            <w:noProof/>
            <w:webHidden/>
          </w:rPr>
          <w:instrText xml:space="preserve"> PAGEREF _Toc262297404 \h </w:instrText>
        </w:r>
        <w:r w:rsidR="006A60A1">
          <w:rPr>
            <w:noProof/>
            <w:webHidden/>
          </w:rPr>
        </w:r>
        <w:r w:rsidR="006A60A1">
          <w:rPr>
            <w:noProof/>
            <w:webHidden/>
          </w:rPr>
          <w:fldChar w:fldCharType="separate"/>
        </w:r>
        <w:r w:rsidR="005A51D5">
          <w:rPr>
            <w:noProof/>
            <w:webHidden/>
          </w:rPr>
          <w:t>8</w:t>
        </w:r>
        <w:r w:rsidR="006A60A1">
          <w:rPr>
            <w:noProof/>
            <w:webHidden/>
          </w:rPr>
          <w:fldChar w:fldCharType="end"/>
        </w:r>
      </w:hyperlink>
    </w:p>
    <w:p w14:paraId="74259CE0" w14:textId="77777777" w:rsidR="005A51D5" w:rsidRDefault="00F3583A">
      <w:pPr>
        <w:pStyle w:val="TOC3"/>
        <w:tabs>
          <w:tab w:val="right" w:leader="dot" w:pos="12950"/>
        </w:tabs>
        <w:rPr>
          <w:noProof/>
          <w:lang w:bidi="ar-SA"/>
        </w:rPr>
      </w:pPr>
      <w:hyperlink w:anchor="_Toc262297405" w:history="1">
        <w:r w:rsidR="005A51D5" w:rsidRPr="00A1541B">
          <w:rPr>
            <w:rStyle w:val="Hyperlink"/>
            <w:noProof/>
          </w:rPr>
          <w:t>(1) Accreditation and Academic Credit.</w:t>
        </w:r>
        <w:r w:rsidR="005A51D5">
          <w:rPr>
            <w:noProof/>
            <w:webHidden/>
          </w:rPr>
          <w:tab/>
        </w:r>
        <w:r w:rsidR="006A60A1">
          <w:rPr>
            <w:noProof/>
            <w:webHidden/>
          </w:rPr>
          <w:fldChar w:fldCharType="begin"/>
        </w:r>
        <w:r w:rsidR="005A51D5">
          <w:rPr>
            <w:noProof/>
            <w:webHidden/>
          </w:rPr>
          <w:instrText xml:space="preserve"> PAGEREF _Toc262297405 \h </w:instrText>
        </w:r>
        <w:r w:rsidR="006A60A1">
          <w:rPr>
            <w:noProof/>
            <w:webHidden/>
          </w:rPr>
        </w:r>
        <w:r w:rsidR="006A60A1">
          <w:rPr>
            <w:noProof/>
            <w:webHidden/>
          </w:rPr>
          <w:fldChar w:fldCharType="separate"/>
        </w:r>
        <w:r w:rsidR="005A51D5">
          <w:rPr>
            <w:noProof/>
            <w:webHidden/>
          </w:rPr>
          <w:t>8</w:t>
        </w:r>
        <w:r w:rsidR="006A60A1">
          <w:rPr>
            <w:noProof/>
            <w:webHidden/>
          </w:rPr>
          <w:fldChar w:fldCharType="end"/>
        </w:r>
      </w:hyperlink>
    </w:p>
    <w:p w14:paraId="62002141" w14:textId="77777777" w:rsidR="005A51D5" w:rsidRDefault="00F3583A">
      <w:pPr>
        <w:pStyle w:val="TOC3"/>
        <w:tabs>
          <w:tab w:val="right" w:leader="dot" w:pos="12950"/>
        </w:tabs>
        <w:rPr>
          <w:noProof/>
          <w:lang w:bidi="ar-SA"/>
        </w:rPr>
      </w:pPr>
      <w:hyperlink w:anchor="_Toc262297406" w:history="1">
        <w:r w:rsidR="005A51D5" w:rsidRPr="00A1541B">
          <w:rPr>
            <w:rStyle w:val="Hyperlink"/>
            <w:noProof/>
          </w:rPr>
          <w:t>(2) Responsibility and Authority.</w:t>
        </w:r>
        <w:r w:rsidR="005A51D5">
          <w:rPr>
            <w:noProof/>
            <w:webHidden/>
          </w:rPr>
          <w:tab/>
        </w:r>
        <w:r w:rsidR="006A60A1">
          <w:rPr>
            <w:noProof/>
            <w:webHidden/>
          </w:rPr>
          <w:fldChar w:fldCharType="begin"/>
        </w:r>
        <w:r w:rsidR="005A51D5">
          <w:rPr>
            <w:noProof/>
            <w:webHidden/>
          </w:rPr>
          <w:instrText xml:space="preserve"> PAGEREF _Toc262297406 \h </w:instrText>
        </w:r>
        <w:r w:rsidR="006A60A1">
          <w:rPr>
            <w:noProof/>
            <w:webHidden/>
          </w:rPr>
        </w:r>
        <w:r w:rsidR="006A60A1">
          <w:rPr>
            <w:noProof/>
            <w:webHidden/>
          </w:rPr>
          <w:fldChar w:fldCharType="separate"/>
        </w:r>
        <w:r w:rsidR="005A51D5">
          <w:rPr>
            <w:noProof/>
            <w:webHidden/>
          </w:rPr>
          <w:t>8</w:t>
        </w:r>
        <w:r w:rsidR="006A60A1">
          <w:rPr>
            <w:noProof/>
            <w:webHidden/>
          </w:rPr>
          <w:fldChar w:fldCharType="end"/>
        </w:r>
      </w:hyperlink>
    </w:p>
    <w:p w14:paraId="3A089966" w14:textId="77777777" w:rsidR="005A51D5" w:rsidRDefault="00F3583A">
      <w:pPr>
        <w:pStyle w:val="TOC3"/>
        <w:tabs>
          <w:tab w:val="right" w:leader="dot" w:pos="12950"/>
        </w:tabs>
        <w:rPr>
          <w:noProof/>
          <w:lang w:bidi="ar-SA"/>
        </w:rPr>
      </w:pPr>
      <w:hyperlink w:anchor="_Toc262297407" w:history="1">
        <w:r w:rsidR="005A51D5" w:rsidRPr="00A1541B">
          <w:rPr>
            <w:rStyle w:val="Hyperlink"/>
            <w:noProof/>
          </w:rPr>
          <w:t>(3) Personnel Decisions</w:t>
        </w:r>
        <w:r w:rsidR="005A51D5">
          <w:rPr>
            <w:noProof/>
            <w:webHidden/>
          </w:rPr>
          <w:tab/>
        </w:r>
        <w:r w:rsidR="006A60A1">
          <w:rPr>
            <w:noProof/>
            <w:webHidden/>
          </w:rPr>
          <w:fldChar w:fldCharType="begin"/>
        </w:r>
        <w:r w:rsidR="005A51D5">
          <w:rPr>
            <w:noProof/>
            <w:webHidden/>
          </w:rPr>
          <w:instrText xml:space="preserve"> PAGEREF _Toc262297407 \h </w:instrText>
        </w:r>
        <w:r w:rsidR="006A60A1">
          <w:rPr>
            <w:noProof/>
            <w:webHidden/>
          </w:rPr>
        </w:r>
        <w:r w:rsidR="006A60A1">
          <w:rPr>
            <w:noProof/>
            <w:webHidden/>
          </w:rPr>
          <w:fldChar w:fldCharType="separate"/>
        </w:r>
        <w:r w:rsidR="005A51D5">
          <w:rPr>
            <w:noProof/>
            <w:webHidden/>
          </w:rPr>
          <w:t>9</w:t>
        </w:r>
        <w:r w:rsidR="006A60A1">
          <w:rPr>
            <w:noProof/>
            <w:webHidden/>
          </w:rPr>
          <w:fldChar w:fldCharType="end"/>
        </w:r>
      </w:hyperlink>
    </w:p>
    <w:p w14:paraId="76F1AF46" w14:textId="77777777" w:rsidR="005A51D5" w:rsidRDefault="00F3583A">
      <w:pPr>
        <w:pStyle w:val="TOC3"/>
        <w:tabs>
          <w:tab w:val="right" w:leader="dot" w:pos="12950"/>
        </w:tabs>
        <w:rPr>
          <w:noProof/>
          <w:lang w:bidi="ar-SA"/>
        </w:rPr>
      </w:pPr>
      <w:hyperlink w:anchor="_Toc262297408" w:history="1">
        <w:r w:rsidR="005A51D5" w:rsidRPr="00A1541B">
          <w:rPr>
            <w:rStyle w:val="Hyperlink"/>
            <w:noProof/>
          </w:rPr>
          <w:t>(4) Demonstration of Need</w:t>
        </w:r>
        <w:r w:rsidR="005A51D5">
          <w:rPr>
            <w:noProof/>
            <w:webHidden/>
          </w:rPr>
          <w:tab/>
        </w:r>
        <w:r w:rsidR="006A60A1">
          <w:rPr>
            <w:noProof/>
            <w:webHidden/>
          </w:rPr>
          <w:fldChar w:fldCharType="begin"/>
        </w:r>
        <w:r w:rsidR="005A51D5">
          <w:rPr>
            <w:noProof/>
            <w:webHidden/>
          </w:rPr>
          <w:instrText xml:space="preserve"> PAGEREF _Toc262297408 \h </w:instrText>
        </w:r>
        <w:r w:rsidR="006A60A1">
          <w:rPr>
            <w:noProof/>
            <w:webHidden/>
          </w:rPr>
        </w:r>
        <w:r w:rsidR="006A60A1">
          <w:rPr>
            <w:noProof/>
            <w:webHidden/>
          </w:rPr>
          <w:fldChar w:fldCharType="separate"/>
        </w:r>
        <w:r w:rsidR="005A51D5">
          <w:rPr>
            <w:noProof/>
            <w:webHidden/>
          </w:rPr>
          <w:t>9</w:t>
        </w:r>
        <w:r w:rsidR="006A60A1">
          <w:rPr>
            <w:noProof/>
            <w:webHidden/>
          </w:rPr>
          <w:fldChar w:fldCharType="end"/>
        </w:r>
      </w:hyperlink>
    </w:p>
    <w:p w14:paraId="30DE0CBD" w14:textId="77777777" w:rsidR="005A51D5" w:rsidRDefault="00F3583A">
      <w:pPr>
        <w:pStyle w:val="TOC3"/>
        <w:tabs>
          <w:tab w:val="right" w:leader="dot" w:pos="12950"/>
        </w:tabs>
        <w:rPr>
          <w:noProof/>
          <w:lang w:bidi="ar-SA"/>
        </w:rPr>
      </w:pPr>
      <w:hyperlink w:anchor="_Toc262297409" w:history="1">
        <w:r w:rsidR="005A51D5" w:rsidRPr="00A1541B">
          <w:rPr>
            <w:rStyle w:val="Hyperlink"/>
            <w:noProof/>
          </w:rPr>
          <w:t>(5) Practitioners’ Participation in Program Design</w:t>
        </w:r>
        <w:r w:rsidR="005A51D5">
          <w:rPr>
            <w:noProof/>
            <w:webHidden/>
          </w:rPr>
          <w:tab/>
        </w:r>
        <w:r w:rsidR="006A60A1">
          <w:rPr>
            <w:noProof/>
            <w:webHidden/>
          </w:rPr>
          <w:fldChar w:fldCharType="begin"/>
        </w:r>
        <w:r w:rsidR="005A51D5">
          <w:rPr>
            <w:noProof/>
            <w:webHidden/>
          </w:rPr>
          <w:instrText xml:space="preserve"> PAGEREF _Toc262297409 \h </w:instrText>
        </w:r>
        <w:r w:rsidR="006A60A1">
          <w:rPr>
            <w:noProof/>
            <w:webHidden/>
          </w:rPr>
        </w:r>
        <w:r w:rsidR="006A60A1">
          <w:rPr>
            <w:noProof/>
            <w:webHidden/>
          </w:rPr>
          <w:fldChar w:fldCharType="separate"/>
        </w:r>
        <w:r w:rsidR="005A51D5">
          <w:rPr>
            <w:noProof/>
            <w:webHidden/>
          </w:rPr>
          <w:t>9</w:t>
        </w:r>
        <w:r w:rsidR="006A60A1">
          <w:rPr>
            <w:noProof/>
            <w:webHidden/>
          </w:rPr>
          <w:fldChar w:fldCharType="end"/>
        </w:r>
      </w:hyperlink>
    </w:p>
    <w:p w14:paraId="519B6F53" w14:textId="77777777" w:rsidR="005A51D5" w:rsidRDefault="00F3583A">
      <w:pPr>
        <w:pStyle w:val="TOC3"/>
        <w:tabs>
          <w:tab w:val="right" w:leader="dot" w:pos="12950"/>
        </w:tabs>
        <w:rPr>
          <w:noProof/>
          <w:lang w:bidi="ar-SA"/>
        </w:rPr>
      </w:pPr>
      <w:hyperlink w:anchor="_Toc262297410" w:history="1">
        <w:r w:rsidR="005A51D5" w:rsidRPr="00A1541B">
          <w:rPr>
            <w:rStyle w:val="Hyperlink"/>
            <w:noProof/>
          </w:rPr>
          <w:t>(6) Commission Assurances</w:t>
        </w:r>
        <w:r w:rsidR="005A51D5">
          <w:rPr>
            <w:noProof/>
            <w:webHidden/>
          </w:rPr>
          <w:tab/>
        </w:r>
        <w:r w:rsidR="006A60A1">
          <w:rPr>
            <w:noProof/>
            <w:webHidden/>
          </w:rPr>
          <w:fldChar w:fldCharType="begin"/>
        </w:r>
        <w:r w:rsidR="005A51D5">
          <w:rPr>
            <w:noProof/>
            <w:webHidden/>
          </w:rPr>
          <w:instrText xml:space="preserve"> PAGEREF _Toc262297410 \h </w:instrText>
        </w:r>
        <w:r w:rsidR="006A60A1">
          <w:rPr>
            <w:noProof/>
            <w:webHidden/>
          </w:rPr>
        </w:r>
        <w:r w:rsidR="006A60A1">
          <w:rPr>
            <w:noProof/>
            <w:webHidden/>
          </w:rPr>
          <w:fldChar w:fldCharType="separate"/>
        </w:r>
        <w:r w:rsidR="005A51D5">
          <w:rPr>
            <w:noProof/>
            <w:webHidden/>
          </w:rPr>
          <w:t>9</w:t>
        </w:r>
        <w:r w:rsidR="006A60A1">
          <w:rPr>
            <w:noProof/>
            <w:webHidden/>
          </w:rPr>
          <w:fldChar w:fldCharType="end"/>
        </w:r>
      </w:hyperlink>
    </w:p>
    <w:p w14:paraId="530A93A0" w14:textId="77777777" w:rsidR="005A51D5" w:rsidRDefault="00F3583A">
      <w:pPr>
        <w:pStyle w:val="TOC3"/>
        <w:tabs>
          <w:tab w:val="right" w:leader="dot" w:pos="12950"/>
        </w:tabs>
        <w:rPr>
          <w:noProof/>
          <w:lang w:bidi="ar-SA"/>
        </w:rPr>
      </w:pPr>
      <w:hyperlink w:anchor="_Toc262297411" w:history="1">
        <w:r w:rsidR="005A51D5" w:rsidRPr="00A1541B">
          <w:rPr>
            <w:rStyle w:val="Hyperlink"/>
            <w:noProof/>
          </w:rPr>
          <w:t>(7) Requests for Data</w:t>
        </w:r>
        <w:r w:rsidR="005A51D5">
          <w:rPr>
            <w:noProof/>
            <w:webHidden/>
          </w:rPr>
          <w:tab/>
        </w:r>
        <w:r w:rsidR="006A60A1">
          <w:rPr>
            <w:noProof/>
            <w:webHidden/>
          </w:rPr>
          <w:fldChar w:fldCharType="begin"/>
        </w:r>
        <w:r w:rsidR="005A51D5">
          <w:rPr>
            <w:noProof/>
            <w:webHidden/>
          </w:rPr>
          <w:instrText xml:space="preserve"> PAGEREF _Toc262297411 \h </w:instrText>
        </w:r>
        <w:r w:rsidR="006A60A1">
          <w:rPr>
            <w:noProof/>
            <w:webHidden/>
          </w:rPr>
        </w:r>
        <w:r w:rsidR="006A60A1">
          <w:rPr>
            <w:noProof/>
            <w:webHidden/>
          </w:rPr>
          <w:fldChar w:fldCharType="separate"/>
        </w:r>
        <w:r w:rsidR="005A51D5">
          <w:rPr>
            <w:noProof/>
            <w:webHidden/>
          </w:rPr>
          <w:t>10</w:t>
        </w:r>
        <w:r w:rsidR="006A60A1">
          <w:rPr>
            <w:noProof/>
            <w:webHidden/>
          </w:rPr>
          <w:fldChar w:fldCharType="end"/>
        </w:r>
      </w:hyperlink>
    </w:p>
    <w:p w14:paraId="57CE3E1C" w14:textId="77777777" w:rsidR="005A51D5" w:rsidRDefault="00F3583A">
      <w:pPr>
        <w:pStyle w:val="TOC2"/>
        <w:tabs>
          <w:tab w:val="right" w:leader="dot" w:pos="12950"/>
        </w:tabs>
        <w:rPr>
          <w:noProof/>
          <w:lang w:bidi="ar-SA"/>
        </w:rPr>
      </w:pPr>
      <w:hyperlink w:anchor="_Toc262297412" w:history="1">
        <w:r w:rsidR="005A51D5" w:rsidRPr="00A1541B">
          <w:rPr>
            <w:rStyle w:val="Hyperlink"/>
            <w:noProof/>
          </w:rPr>
          <w:t>General Preconditions Established by State Law</w:t>
        </w:r>
        <w:r w:rsidR="005A51D5">
          <w:rPr>
            <w:noProof/>
            <w:webHidden/>
          </w:rPr>
          <w:tab/>
        </w:r>
        <w:r w:rsidR="006A60A1">
          <w:rPr>
            <w:noProof/>
            <w:webHidden/>
          </w:rPr>
          <w:fldChar w:fldCharType="begin"/>
        </w:r>
        <w:r w:rsidR="005A51D5">
          <w:rPr>
            <w:noProof/>
            <w:webHidden/>
          </w:rPr>
          <w:instrText xml:space="preserve"> PAGEREF _Toc262297412 \h </w:instrText>
        </w:r>
        <w:r w:rsidR="006A60A1">
          <w:rPr>
            <w:noProof/>
            <w:webHidden/>
          </w:rPr>
        </w:r>
        <w:r w:rsidR="006A60A1">
          <w:rPr>
            <w:noProof/>
            <w:webHidden/>
          </w:rPr>
          <w:fldChar w:fldCharType="separate"/>
        </w:r>
        <w:r w:rsidR="005A51D5">
          <w:rPr>
            <w:noProof/>
            <w:webHidden/>
          </w:rPr>
          <w:t>11</w:t>
        </w:r>
        <w:r w:rsidR="006A60A1">
          <w:rPr>
            <w:noProof/>
            <w:webHidden/>
          </w:rPr>
          <w:fldChar w:fldCharType="end"/>
        </w:r>
      </w:hyperlink>
    </w:p>
    <w:p w14:paraId="1E31A1F9" w14:textId="77777777" w:rsidR="005A51D5" w:rsidRDefault="00F3583A">
      <w:pPr>
        <w:pStyle w:val="TOC3"/>
        <w:tabs>
          <w:tab w:val="right" w:leader="dot" w:pos="12950"/>
        </w:tabs>
        <w:rPr>
          <w:noProof/>
          <w:lang w:bidi="ar-SA"/>
        </w:rPr>
      </w:pPr>
      <w:hyperlink w:anchor="_Toc262297413" w:history="1">
        <w:r w:rsidR="005A51D5" w:rsidRPr="00A1541B">
          <w:rPr>
            <w:rStyle w:val="Hyperlink"/>
            <w:noProof/>
          </w:rPr>
          <w:t>(8) Faculty Participation</w:t>
        </w:r>
        <w:r w:rsidR="005A51D5">
          <w:rPr>
            <w:noProof/>
            <w:webHidden/>
          </w:rPr>
          <w:tab/>
        </w:r>
        <w:r w:rsidR="006A60A1">
          <w:rPr>
            <w:noProof/>
            <w:webHidden/>
          </w:rPr>
          <w:fldChar w:fldCharType="begin"/>
        </w:r>
        <w:r w:rsidR="005A51D5">
          <w:rPr>
            <w:noProof/>
            <w:webHidden/>
          </w:rPr>
          <w:instrText xml:space="preserve"> PAGEREF _Toc262297413 \h </w:instrText>
        </w:r>
        <w:r w:rsidR="006A60A1">
          <w:rPr>
            <w:noProof/>
            <w:webHidden/>
          </w:rPr>
        </w:r>
        <w:r w:rsidR="006A60A1">
          <w:rPr>
            <w:noProof/>
            <w:webHidden/>
          </w:rPr>
          <w:fldChar w:fldCharType="separate"/>
        </w:r>
        <w:r w:rsidR="005A51D5">
          <w:rPr>
            <w:noProof/>
            <w:webHidden/>
          </w:rPr>
          <w:t>11</w:t>
        </w:r>
        <w:r w:rsidR="006A60A1">
          <w:rPr>
            <w:noProof/>
            <w:webHidden/>
          </w:rPr>
          <w:fldChar w:fldCharType="end"/>
        </w:r>
      </w:hyperlink>
    </w:p>
    <w:p w14:paraId="711F9336" w14:textId="77777777" w:rsidR="005A51D5" w:rsidRDefault="00F3583A">
      <w:pPr>
        <w:pStyle w:val="TOC3"/>
        <w:tabs>
          <w:tab w:val="right" w:leader="dot" w:pos="12950"/>
        </w:tabs>
        <w:rPr>
          <w:noProof/>
          <w:lang w:bidi="ar-SA"/>
        </w:rPr>
      </w:pPr>
      <w:hyperlink w:anchor="_Toc262297414" w:history="1">
        <w:r w:rsidR="005A51D5" w:rsidRPr="00A1541B">
          <w:rPr>
            <w:rStyle w:val="Hyperlink"/>
            <w:noProof/>
          </w:rPr>
          <w:t>(9) California Basic Educational Skills Test</w:t>
        </w:r>
        <w:r w:rsidR="005A51D5">
          <w:rPr>
            <w:noProof/>
            <w:webHidden/>
          </w:rPr>
          <w:tab/>
        </w:r>
        <w:r w:rsidR="006A60A1">
          <w:rPr>
            <w:noProof/>
            <w:webHidden/>
          </w:rPr>
          <w:fldChar w:fldCharType="begin"/>
        </w:r>
        <w:r w:rsidR="005A51D5">
          <w:rPr>
            <w:noProof/>
            <w:webHidden/>
          </w:rPr>
          <w:instrText xml:space="preserve"> PAGEREF _Toc262297414 \h </w:instrText>
        </w:r>
        <w:r w:rsidR="006A60A1">
          <w:rPr>
            <w:noProof/>
            <w:webHidden/>
          </w:rPr>
        </w:r>
        <w:r w:rsidR="006A60A1">
          <w:rPr>
            <w:noProof/>
            <w:webHidden/>
          </w:rPr>
          <w:fldChar w:fldCharType="separate"/>
        </w:r>
        <w:r w:rsidR="005A51D5">
          <w:rPr>
            <w:noProof/>
            <w:webHidden/>
          </w:rPr>
          <w:t>11</w:t>
        </w:r>
        <w:r w:rsidR="006A60A1">
          <w:rPr>
            <w:noProof/>
            <w:webHidden/>
          </w:rPr>
          <w:fldChar w:fldCharType="end"/>
        </w:r>
      </w:hyperlink>
    </w:p>
    <w:p w14:paraId="635F82F0" w14:textId="77777777" w:rsidR="005A51D5" w:rsidRDefault="00F3583A">
      <w:pPr>
        <w:pStyle w:val="TOC3"/>
        <w:tabs>
          <w:tab w:val="right" w:leader="dot" w:pos="12950"/>
        </w:tabs>
        <w:rPr>
          <w:noProof/>
          <w:lang w:bidi="ar-SA"/>
        </w:rPr>
      </w:pPr>
      <w:hyperlink w:anchor="_Toc262297415" w:history="1">
        <w:r w:rsidR="005A51D5" w:rsidRPr="00A1541B">
          <w:rPr>
            <w:rStyle w:val="Hyperlink"/>
            <w:noProof/>
          </w:rPr>
          <w:t>(10) Certificate of Clearance.</w:t>
        </w:r>
        <w:r w:rsidR="005A51D5">
          <w:rPr>
            <w:noProof/>
            <w:webHidden/>
          </w:rPr>
          <w:tab/>
        </w:r>
        <w:r w:rsidR="006A60A1">
          <w:rPr>
            <w:noProof/>
            <w:webHidden/>
          </w:rPr>
          <w:fldChar w:fldCharType="begin"/>
        </w:r>
        <w:r w:rsidR="005A51D5">
          <w:rPr>
            <w:noProof/>
            <w:webHidden/>
          </w:rPr>
          <w:instrText xml:space="preserve"> PAGEREF _Toc262297415 \h </w:instrText>
        </w:r>
        <w:r w:rsidR="006A60A1">
          <w:rPr>
            <w:noProof/>
            <w:webHidden/>
          </w:rPr>
        </w:r>
        <w:r w:rsidR="006A60A1">
          <w:rPr>
            <w:noProof/>
            <w:webHidden/>
          </w:rPr>
          <w:fldChar w:fldCharType="separate"/>
        </w:r>
        <w:r w:rsidR="005A51D5">
          <w:rPr>
            <w:noProof/>
            <w:webHidden/>
          </w:rPr>
          <w:t>12</w:t>
        </w:r>
        <w:r w:rsidR="006A60A1">
          <w:rPr>
            <w:noProof/>
            <w:webHidden/>
          </w:rPr>
          <w:fldChar w:fldCharType="end"/>
        </w:r>
      </w:hyperlink>
    </w:p>
    <w:p w14:paraId="622F28FF" w14:textId="77777777" w:rsidR="005A51D5" w:rsidRDefault="00F3583A">
      <w:pPr>
        <w:pStyle w:val="TOC2"/>
        <w:tabs>
          <w:tab w:val="right" w:leader="dot" w:pos="12950"/>
        </w:tabs>
        <w:rPr>
          <w:noProof/>
          <w:lang w:bidi="ar-SA"/>
        </w:rPr>
      </w:pPr>
      <w:hyperlink w:anchor="_Toc262297416" w:history="1">
        <w:r w:rsidR="005A51D5" w:rsidRPr="00A1541B">
          <w:rPr>
            <w:rStyle w:val="Hyperlink"/>
            <w:noProof/>
          </w:rPr>
          <w:t>Preconditions for [Name of Specific Credential Program]</w:t>
        </w:r>
        <w:r w:rsidR="005A51D5">
          <w:rPr>
            <w:noProof/>
            <w:webHidden/>
          </w:rPr>
          <w:tab/>
        </w:r>
        <w:r w:rsidR="006A60A1">
          <w:rPr>
            <w:noProof/>
            <w:webHidden/>
          </w:rPr>
          <w:fldChar w:fldCharType="begin"/>
        </w:r>
        <w:r w:rsidR="005A51D5">
          <w:rPr>
            <w:noProof/>
            <w:webHidden/>
          </w:rPr>
          <w:instrText xml:space="preserve"> PAGEREF _Toc262297416 \h </w:instrText>
        </w:r>
        <w:r w:rsidR="006A60A1">
          <w:rPr>
            <w:noProof/>
            <w:webHidden/>
          </w:rPr>
        </w:r>
        <w:r w:rsidR="006A60A1">
          <w:rPr>
            <w:noProof/>
            <w:webHidden/>
          </w:rPr>
          <w:fldChar w:fldCharType="separate"/>
        </w:r>
        <w:r w:rsidR="005A51D5">
          <w:rPr>
            <w:noProof/>
            <w:webHidden/>
          </w:rPr>
          <w:t>13</w:t>
        </w:r>
        <w:r w:rsidR="006A60A1">
          <w:rPr>
            <w:noProof/>
            <w:webHidden/>
          </w:rPr>
          <w:fldChar w:fldCharType="end"/>
        </w:r>
      </w:hyperlink>
    </w:p>
    <w:p w14:paraId="4644A97C" w14:textId="77777777" w:rsidR="005A51D5" w:rsidRDefault="00F3583A">
      <w:pPr>
        <w:pStyle w:val="TOC1"/>
        <w:tabs>
          <w:tab w:val="right" w:leader="dot" w:pos="12950"/>
        </w:tabs>
        <w:rPr>
          <w:noProof/>
          <w:lang w:bidi="ar-SA"/>
        </w:rPr>
      </w:pPr>
      <w:hyperlink w:anchor="_Toc262297417" w:history="1">
        <w:r w:rsidR="005A51D5" w:rsidRPr="00A1541B">
          <w:rPr>
            <w:rStyle w:val="Hyperlink"/>
            <w:noProof/>
          </w:rPr>
          <w:t xml:space="preserve">Common Standards  </w:t>
        </w:r>
        <w:r w:rsidR="005A51D5" w:rsidRPr="00A1541B">
          <w:rPr>
            <w:rStyle w:val="Hyperlink"/>
            <w:bCs/>
            <w:noProof/>
          </w:rPr>
          <w:t xml:space="preserve">(Adopted </w:t>
        </w:r>
        <w:r w:rsidR="00D84E3D">
          <w:rPr>
            <w:rStyle w:val="Hyperlink"/>
            <w:bCs/>
            <w:noProof/>
          </w:rPr>
          <w:t>November 2008</w:t>
        </w:r>
        <w:r w:rsidR="005A51D5" w:rsidRPr="00A1541B">
          <w:rPr>
            <w:rStyle w:val="Hyperlink"/>
            <w:bCs/>
            <w:noProof/>
          </w:rPr>
          <w:t>)</w:t>
        </w:r>
        <w:r w:rsidR="005A51D5">
          <w:rPr>
            <w:noProof/>
            <w:webHidden/>
          </w:rPr>
          <w:tab/>
        </w:r>
        <w:r w:rsidR="006A60A1">
          <w:rPr>
            <w:noProof/>
            <w:webHidden/>
          </w:rPr>
          <w:fldChar w:fldCharType="begin"/>
        </w:r>
        <w:r w:rsidR="005A51D5">
          <w:rPr>
            <w:noProof/>
            <w:webHidden/>
          </w:rPr>
          <w:instrText xml:space="preserve"> PAGEREF _Toc262297417 \h </w:instrText>
        </w:r>
        <w:r w:rsidR="006A60A1">
          <w:rPr>
            <w:noProof/>
            <w:webHidden/>
          </w:rPr>
        </w:r>
        <w:r w:rsidR="006A60A1">
          <w:rPr>
            <w:noProof/>
            <w:webHidden/>
          </w:rPr>
          <w:fldChar w:fldCharType="separate"/>
        </w:r>
        <w:r w:rsidR="005A51D5">
          <w:rPr>
            <w:noProof/>
            <w:webHidden/>
          </w:rPr>
          <w:t>14</w:t>
        </w:r>
        <w:r w:rsidR="006A60A1">
          <w:rPr>
            <w:noProof/>
            <w:webHidden/>
          </w:rPr>
          <w:fldChar w:fldCharType="end"/>
        </w:r>
      </w:hyperlink>
    </w:p>
    <w:p w14:paraId="5326D4A2" w14:textId="77777777" w:rsidR="005A51D5" w:rsidRDefault="00F3583A">
      <w:pPr>
        <w:pStyle w:val="TOC3"/>
        <w:tabs>
          <w:tab w:val="right" w:leader="dot" w:pos="12950"/>
        </w:tabs>
        <w:rPr>
          <w:noProof/>
          <w:lang w:bidi="ar-SA"/>
        </w:rPr>
      </w:pPr>
      <w:hyperlink w:anchor="_Toc262297418" w:history="1">
        <w:r w:rsidR="005A51D5" w:rsidRPr="00A1541B">
          <w:rPr>
            <w:rStyle w:val="Hyperlink"/>
            <w:noProof/>
          </w:rPr>
          <w:t>Standard 1: Educational Leadership</w:t>
        </w:r>
        <w:r w:rsidR="005A51D5">
          <w:rPr>
            <w:noProof/>
            <w:webHidden/>
          </w:rPr>
          <w:tab/>
        </w:r>
        <w:r w:rsidR="006A60A1">
          <w:rPr>
            <w:noProof/>
            <w:webHidden/>
          </w:rPr>
          <w:fldChar w:fldCharType="begin"/>
        </w:r>
        <w:r w:rsidR="005A51D5">
          <w:rPr>
            <w:noProof/>
            <w:webHidden/>
          </w:rPr>
          <w:instrText xml:space="preserve"> PAGEREF _Toc262297418 \h </w:instrText>
        </w:r>
        <w:r w:rsidR="006A60A1">
          <w:rPr>
            <w:noProof/>
            <w:webHidden/>
          </w:rPr>
        </w:r>
        <w:r w:rsidR="006A60A1">
          <w:rPr>
            <w:noProof/>
            <w:webHidden/>
          </w:rPr>
          <w:fldChar w:fldCharType="separate"/>
        </w:r>
        <w:r w:rsidR="005A51D5">
          <w:rPr>
            <w:noProof/>
            <w:webHidden/>
          </w:rPr>
          <w:t>14</w:t>
        </w:r>
        <w:r w:rsidR="006A60A1">
          <w:rPr>
            <w:noProof/>
            <w:webHidden/>
          </w:rPr>
          <w:fldChar w:fldCharType="end"/>
        </w:r>
      </w:hyperlink>
    </w:p>
    <w:p w14:paraId="13B83BD9" w14:textId="77777777" w:rsidR="005A51D5" w:rsidRDefault="00F3583A">
      <w:pPr>
        <w:pStyle w:val="TOC3"/>
        <w:tabs>
          <w:tab w:val="right" w:leader="dot" w:pos="12950"/>
        </w:tabs>
        <w:rPr>
          <w:noProof/>
          <w:lang w:bidi="ar-SA"/>
        </w:rPr>
      </w:pPr>
      <w:hyperlink w:anchor="_Toc262297419" w:history="1">
        <w:r w:rsidR="005A51D5" w:rsidRPr="00A1541B">
          <w:rPr>
            <w:rStyle w:val="Hyperlink"/>
            <w:noProof/>
          </w:rPr>
          <w:t xml:space="preserve">Standard 2: Unit and Program </w:t>
        </w:r>
        <w:r w:rsidR="00D84E3D">
          <w:rPr>
            <w:rStyle w:val="Hyperlink"/>
            <w:noProof/>
          </w:rPr>
          <w:t>Assessment and Evaluation</w:t>
        </w:r>
        <w:r w:rsidR="005A51D5">
          <w:rPr>
            <w:noProof/>
            <w:webHidden/>
          </w:rPr>
          <w:tab/>
        </w:r>
        <w:r w:rsidR="006A60A1">
          <w:rPr>
            <w:noProof/>
            <w:webHidden/>
          </w:rPr>
          <w:fldChar w:fldCharType="begin"/>
        </w:r>
        <w:r w:rsidR="005A51D5">
          <w:rPr>
            <w:noProof/>
            <w:webHidden/>
          </w:rPr>
          <w:instrText xml:space="preserve"> PAGEREF _Toc262297419 \h </w:instrText>
        </w:r>
        <w:r w:rsidR="006A60A1">
          <w:rPr>
            <w:noProof/>
            <w:webHidden/>
          </w:rPr>
        </w:r>
        <w:r w:rsidR="006A60A1">
          <w:rPr>
            <w:noProof/>
            <w:webHidden/>
          </w:rPr>
          <w:fldChar w:fldCharType="separate"/>
        </w:r>
        <w:r w:rsidR="005A51D5">
          <w:rPr>
            <w:noProof/>
            <w:webHidden/>
          </w:rPr>
          <w:t>14</w:t>
        </w:r>
        <w:r w:rsidR="006A60A1">
          <w:rPr>
            <w:noProof/>
            <w:webHidden/>
          </w:rPr>
          <w:fldChar w:fldCharType="end"/>
        </w:r>
      </w:hyperlink>
    </w:p>
    <w:p w14:paraId="1DDCA403" w14:textId="77777777" w:rsidR="005A51D5" w:rsidRDefault="00F3583A">
      <w:pPr>
        <w:pStyle w:val="TOC3"/>
        <w:tabs>
          <w:tab w:val="right" w:leader="dot" w:pos="12950"/>
        </w:tabs>
        <w:rPr>
          <w:noProof/>
          <w:lang w:bidi="ar-SA"/>
        </w:rPr>
      </w:pPr>
      <w:hyperlink w:anchor="_Toc262297420" w:history="1">
        <w:r w:rsidR="005A51D5" w:rsidRPr="00A1541B">
          <w:rPr>
            <w:rStyle w:val="Hyperlink"/>
            <w:noProof/>
          </w:rPr>
          <w:t>Standard 3: Resources</w:t>
        </w:r>
        <w:r w:rsidR="005A51D5">
          <w:rPr>
            <w:noProof/>
            <w:webHidden/>
          </w:rPr>
          <w:tab/>
        </w:r>
        <w:r w:rsidR="006A60A1">
          <w:rPr>
            <w:noProof/>
            <w:webHidden/>
          </w:rPr>
          <w:fldChar w:fldCharType="begin"/>
        </w:r>
        <w:r w:rsidR="005A51D5">
          <w:rPr>
            <w:noProof/>
            <w:webHidden/>
          </w:rPr>
          <w:instrText xml:space="preserve"> PAGEREF _Toc262297420 \h </w:instrText>
        </w:r>
        <w:r w:rsidR="006A60A1">
          <w:rPr>
            <w:noProof/>
            <w:webHidden/>
          </w:rPr>
        </w:r>
        <w:r w:rsidR="006A60A1">
          <w:rPr>
            <w:noProof/>
            <w:webHidden/>
          </w:rPr>
          <w:fldChar w:fldCharType="separate"/>
        </w:r>
        <w:r w:rsidR="005A51D5">
          <w:rPr>
            <w:noProof/>
            <w:webHidden/>
          </w:rPr>
          <w:t>15</w:t>
        </w:r>
        <w:r w:rsidR="006A60A1">
          <w:rPr>
            <w:noProof/>
            <w:webHidden/>
          </w:rPr>
          <w:fldChar w:fldCharType="end"/>
        </w:r>
      </w:hyperlink>
    </w:p>
    <w:p w14:paraId="348CD910" w14:textId="77777777" w:rsidR="005A51D5" w:rsidRDefault="00F3583A">
      <w:pPr>
        <w:pStyle w:val="TOC3"/>
        <w:tabs>
          <w:tab w:val="right" w:leader="dot" w:pos="12950"/>
        </w:tabs>
        <w:rPr>
          <w:noProof/>
          <w:lang w:bidi="ar-SA"/>
        </w:rPr>
      </w:pPr>
      <w:hyperlink w:anchor="_Toc262297421" w:history="1">
        <w:r w:rsidR="005A51D5" w:rsidRPr="00A1541B">
          <w:rPr>
            <w:rStyle w:val="Hyperlink"/>
            <w:noProof/>
          </w:rPr>
          <w:t>Standard 4: Faculty</w:t>
        </w:r>
        <w:r w:rsidR="00D84E3D">
          <w:rPr>
            <w:rStyle w:val="Hyperlink"/>
            <w:noProof/>
          </w:rPr>
          <w:t xml:space="preserve"> and Instructional Personnel</w:t>
        </w:r>
        <w:r w:rsidR="005A51D5">
          <w:rPr>
            <w:noProof/>
            <w:webHidden/>
          </w:rPr>
          <w:tab/>
        </w:r>
        <w:r w:rsidR="006A60A1">
          <w:rPr>
            <w:noProof/>
            <w:webHidden/>
          </w:rPr>
          <w:fldChar w:fldCharType="begin"/>
        </w:r>
        <w:r w:rsidR="005A51D5">
          <w:rPr>
            <w:noProof/>
            <w:webHidden/>
          </w:rPr>
          <w:instrText xml:space="preserve"> PAGEREF _Toc262297421 \h </w:instrText>
        </w:r>
        <w:r w:rsidR="006A60A1">
          <w:rPr>
            <w:noProof/>
            <w:webHidden/>
          </w:rPr>
        </w:r>
        <w:r w:rsidR="006A60A1">
          <w:rPr>
            <w:noProof/>
            <w:webHidden/>
          </w:rPr>
          <w:fldChar w:fldCharType="separate"/>
        </w:r>
        <w:r w:rsidR="005A51D5">
          <w:rPr>
            <w:noProof/>
            <w:webHidden/>
          </w:rPr>
          <w:t>15</w:t>
        </w:r>
        <w:r w:rsidR="006A60A1">
          <w:rPr>
            <w:noProof/>
            <w:webHidden/>
          </w:rPr>
          <w:fldChar w:fldCharType="end"/>
        </w:r>
      </w:hyperlink>
    </w:p>
    <w:p w14:paraId="1A7009B7" w14:textId="77777777" w:rsidR="005A51D5" w:rsidRDefault="00F3583A">
      <w:pPr>
        <w:pStyle w:val="TOC3"/>
        <w:tabs>
          <w:tab w:val="right" w:leader="dot" w:pos="12950"/>
        </w:tabs>
        <w:rPr>
          <w:noProof/>
          <w:lang w:bidi="ar-SA"/>
        </w:rPr>
      </w:pPr>
      <w:hyperlink w:anchor="_Toc262297422" w:history="1">
        <w:r w:rsidR="005A51D5" w:rsidRPr="00A1541B">
          <w:rPr>
            <w:rStyle w:val="Hyperlink"/>
            <w:noProof/>
          </w:rPr>
          <w:t>Standard 5: Admissions</w:t>
        </w:r>
        <w:r w:rsidR="005A51D5">
          <w:rPr>
            <w:noProof/>
            <w:webHidden/>
          </w:rPr>
          <w:tab/>
        </w:r>
        <w:r w:rsidR="006A60A1">
          <w:rPr>
            <w:noProof/>
            <w:webHidden/>
          </w:rPr>
          <w:fldChar w:fldCharType="begin"/>
        </w:r>
        <w:r w:rsidR="005A51D5">
          <w:rPr>
            <w:noProof/>
            <w:webHidden/>
          </w:rPr>
          <w:instrText xml:space="preserve"> PAGEREF _Toc262297422 \h </w:instrText>
        </w:r>
        <w:r w:rsidR="006A60A1">
          <w:rPr>
            <w:noProof/>
            <w:webHidden/>
          </w:rPr>
        </w:r>
        <w:r w:rsidR="006A60A1">
          <w:rPr>
            <w:noProof/>
            <w:webHidden/>
          </w:rPr>
          <w:fldChar w:fldCharType="separate"/>
        </w:r>
        <w:r w:rsidR="005A51D5">
          <w:rPr>
            <w:noProof/>
            <w:webHidden/>
          </w:rPr>
          <w:t>16</w:t>
        </w:r>
        <w:r w:rsidR="006A60A1">
          <w:rPr>
            <w:noProof/>
            <w:webHidden/>
          </w:rPr>
          <w:fldChar w:fldCharType="end"/>
        </w:r>
      </w:hyperlink>
    </w:p>
    <w:p w14:paraId="57316F38" w14:textId="77777777" w:rsidR="005A51D5" w:rsidRDefault="00F3583A">
      <w:pPr>
        <w:pStyle w:val="TOC3"/>
        <w:tabs>
          <w:tab w:val="right" w:leader="dot" w:pos="12950"/>
        </w:tabs>
        <w:rPr>
          <w:noProof/>
          <w:lang w:bidi="ar-SA"/>
        </w:rPr>
      </w:pPr>
      <w:hyperlink w:anchor="_Toc262297423" w:history="1">
        <w:r w:rsidR="005A51D5" w:rsidRPr="00A1541B">
          <w:rPr>
            <w:rStyle w:val="Hyperlink"/>
            <w:noProof/>
          </w:rPr>
          <w:t>Standard 6: Advice and Assistance</w:t>
        </w:r>
        <w:r w:rsidR="005A51D5">
          <w:rPr>
            <w:noProof/>
            <w:webHidden/>
          </w:rPr>
          <w:tab/>
        </w:r>
        <w:r w:rsidR="006A60A1">
          <w:rPr>
            <w:noProof/>
            <w:webHidden/>
          </w:rPr>
          <w:fldChar w:fldCharType="begin"/>
        </w:r>
        <w:r w:rsidR="005A51D5">
          <w:rPr>
            <w:noProof/>
            <w:webHidden/>
          </w:rPr>
          <w:instrText xml:space="preserve"> PAGEREF _Toc262297423 \h </w:instrText>
        </w:r>
        <w:r w:rsidR="006A60A1">
          <w:rPr>
            <w:noProof/>
            <w:webHidden/>
          </w:rPr>
        </w:r>
        <w:r w:rsidR="006A60A1">
          <w:rPr>
            <w:noProof/>
            <w:webHidden/>
          </w:rPr>
          <w:fldChar w:fldCharType="separate"/>
        </w:r>
        <w:r w:rsidR="005A51D5">
          <w:rPr>
            <w:noProof/>
            <w:webHidden/>
          </w:rPr>
          <w:t>16</w:t>
        </w:r>
        <w:r w:rsidR="006A60A1">
          <w:rPr>
            <w:noProof/>
            <w:webHidden/>
          </w:rPr>
          <w:fldChar w:fldCharType="end"/>
        </w:r>
      </w:hyperlink>
    </w:p>
    <w:p w14:paraId="1E84AAF6" w14:textId="77777777" w:rsidR="005A51D5" w:rsidRDefault="00F3583A">
      <w:pPr>
        <w:pStyle w:val="TOC3"/>
        <w:tabs>
          <w:tab w:val="right" w:leader="dot" w:pos="12950"/>
        </w:tabs>
        <w:rPr>
          <w:noProof/>
          <w:lang w:bidi="ar-SA"/>
        </w:rPr>
      </w:pPr>
      <w:hyperlink w:anchor="_Toc262297424" w:history="1">
        <w:r w:rsidR="005A51D5" w:rsidRPr="00A1541B">
          <w:rPr>
            <w:rStyle w:val="Hyperlink"/>
            <w:noProof/>
          </w:rPr>
          <w:t>Standard 7: Field Experiences and Clinical Practice</w:t>
        </w:r>
        <w:r w:rsidR="005A51D5">
          <w:rPr>
            <w:noProof/>
            <w:webHidden/>
          </w:rPr>
          <w:tab/>
        </w:r>
        <w:r w:rsidR="006A60A1">
          <w:rPr>
            <w:noProof/>
            <w:webHidden/>
          </w:rPr>
          <w:fldChar w:fldCharType="begin"/>
        </w:r>
        <w:r w:rsidR="005A51D5">
          <w:rPr>
            <w:noProof/>
            <w:webHidden/>
          </w:rPr>
          <w:instrText xml:space="preserve"> PAGEREF _Toc262297424 \h </w:instrText>
        </w:r>
        <w:r w:rsidR="006A60A1">
          <w:rPr>
            <w:noProof/>
            <w:webHidden/>
          </w:rPr>
        </w:r>
        <w:r w:rsidR="006A60A1">
          <w:rPr>
            <w:noProof/>
            <w:webHidden/>
          </w:rPr>
          <w:fldChar w:fldCharType="separate"/>
        </w:r>
        <w:r w:rsidR="005A51D5">
          <w:rPr>
            <w:noProof/>
            <w:webHidden/>
          </w:rPr>
          <w:t>16</w:t>
        </w:r>
        <w:r w:rsidR="006A60A1">
          <w:rPr>
            <w:noProof/>
            <w:webHidden/>
          </w:rPr>
          <w:fldChar w:fldCharType="end"/>
        </w:r>
      </w:hyperlink>
    </w:p>
    <w:p w14:paraId="629F5D42" w14:textId="77777777" w:rsidR="005A51D5" w:rsidRDefault="00F3583A">
      <w:pPr>
        <w:pStyle w:val="TOC3"/>
        <w:tabs>
          <w:tab w:val="right" w:leader="dot" w:pos="12950"/>
        </w:tabs>
        <w:rPr>
          <w:noProof/>
          <w:lang w:bidi="ar-SA"/>
        </w:rPr>
      </w:pPr>
      <w:hyperlink w:anchor="_Toc262297425" w:history="1">
        <w:r w:rsidR="005A51D5" w:rsidRPr="00A1541B">
          <w:rPr>
            <w:rStyle w:val="Hyperlink"/>
            <w:noProof/>
          </w:rPr>
          <w:t xml:space="preserve">Standard 8: </w:t>
        </w:r>
        <w:r w:rsidR="00D84E3D">
          <w:rPr>
            <w:rStyle w:val="Hyperlink"/>
            <w:noProof/>
          </w:rPr>
          <w:t>District-Employed</w:t>
        </w:r>
        <w:r w:rsidR="005A51D5" w:rsidRPr="00A1541B">
          <w:rPr>
            <w:rStyle w:val="Hyperlink"/>
            <w:noProof/>
          </w:rPr>
          <w:t xml:space="preserve"> Supervisors</w:t>
        </w:r>
        <w:r w:rsidR="005A51D5">
          <w:rPr>
            <w:noProof/>
            <w:webHidden/>
          </w:rPr>
          <w:tab/>
        </w:r>
        <w:r w:rsidR="006A60A1">
          <w:rPr>
            <w:noProof/>
            <w:webHidden/>
          </w:rPr>
          <w:fldChar w:fldCharType="begin"/>
        </w:r>
        <w:r w:rsidR="005A51D5">
          <w:rPr>
            <w:noProof/>
            <w:webHidden/>
          </w:rPr>
          <w:instrText xml:space="preserve"> PAGEREF _Toc262297425 \h </w:instrText>
        </w:r>
        <w:r w:rsidR="006A60A1">
          <w:rPr>
            <w:noProof/>
            <w:webHidden/>
          </w:rPr>
        </w:r>
        <w:r w:rsidR="006A60A1">
          <w:rPr>
            <w:noProof/>
            <w:webHidden/>
          </w:rPr>
          <w:fldChar w:fldCharType="separate"/>
        </w:r>
        <w:r w:rsidR="005A51D5">
          <w:rPr>
            <w:noProof/>
            <w:webHidden/>
          </w:rPr>
          <w:t>17</w:t>
        </w:r>
        <w:r w:rsidR="006A60A1">
          <w:rPr>
            <w:noProof/>
            <w:webHidden/>
          </w:rPr>
          <w:fldChar w:fldCharType="end"/>
        </w:r>
      </w:hyperlink>
    </w:p>
    <w:p w14:paraId="16C9882B" w14:textId="77777777" w:rsidR="005A51D5" w:rsidRDefault="00F3583A">
      <w:pPr>
        <w:pStyle w:val="TOC3"/>
        <w:tabs>
          <w:tab w:val="right" w:leader="dot" w:pos="12950"/>
        </w:tabs>
        <w:rPr>
          <w:noProof/>
          <w:lang w:bidi="ar-SA"/>
        </w:rPr>
      </w:pPr>
      <w:hyperlink w:anchor="_Toc262297426" w:history="1">
        <w:r w:rsidR="005A51D5" w:rsidRPr="00A1541B">
          <w:rPr>
            <w:rStyle w:val="Hyperlink"/>
            <w:noProof/>
          </w:rPr>
          <w:t>Standard 9: Assessment of Candidate Competence</w:t>
        </w:r>
        <w:r w:rsidR="005A51D5">
          <w:rPr>
            <w:noProof/>
            <w:webHidden/>
          </w:rPr>
          <w:tab/>
        </w:r>
        <w:r w:rsidR="006A60A1">
          <w:rPr>
            <w:noProof/>
            <w:webHidden/>
          </w:rPr>
          <w:fldChar w:fldCharType="begin"/>
        </w:r>
        <w:r w:rsidR="005A51D5">
          <w:rPr>
            <w:noProof/>
            <w:webHidden/>
          </w:rPr>
          <w:instrText xml:space="preserve"> PAGEREF _Toc262297426 \h </w:instrText>
        </w:r>
        <w:r w:rsidR="006A60A1">
          <w:rPr>
            <w:noProof/>
            <w:webHidden/>
          </w:rPr>
        </w:r>
        <w:r w:rsidR="006A60A1">
          <w:rPr>
            <w:noProof/>
            <w:webHidden/>
          </w:rPr>
          <w:fldChar w:fldCharType="separate"/>
        </w:r>
        <w:r w:rsidR="005A51D5">
          <w:rPr>
            <w:noProof/>
            <w:webHidden/>
          </w:rPr>
          <w:t>17</w:t>
        </w:r>
        <w:r w:rsidR="006A60A1">
          <w:rPr>
            <w:noProof/>
            <w:webHidden/>
          </w:rPr>
          <w:fldChar w:fldCharType="end"/>
        </w:r>
      </w:hyperlink>
    </w:p>
    <w:p w14:paraId="4C798F45" w14:textId="77777777" w:rsidR="005A51D5" w:rsidRDefault="00F3583A">
      <w:pPr>
        <w:pStyle w:val="TOC1"/>
        <w:tabs>
          <w:tab w:val="right" w:leader="dot" w:pos="12950"/>
        </w:tabs>
        <w:rPr>
          <w:noProof/>
          <w:lang w:bidi="ar-SA"/>
        </w:rPr>
      </w:pPr>
      <w:hyperlink w:anchor="_Toc262297427" w:history="1">
        <w:r w:rsidR="005A51D5" w:rsidRPr="00A1541B">
          <w:rPr>
            <w:rStyle w:val="Hyperlink"/>
            <w:noProof/>
          </w:rPr>
          <w:t>[Name of Credential] Credential Educator Preparation Program</w:t>
        </w:r>
        <w:r w:rsidR="005A51D5">
          <w:rPr>
            <w:noProof/>
            <w:webHidden/>
          </w:rPr>
          <w:tab/>
        </w:r>
        <w:r w:rsidR="006A60A1">
          <w:rPr>
            <w:noProof/>
            <w:webHidden/>
          </w:rPr>
          <w:fldChar w:fldCharType="begin"/>
        </w:r>
        <w:r w:rsidR="005A51D5">
          <w:rPr>
            <w:noProof/>
            <w:webHidden/>
          </w:rPr>
          <w:instrText xml:space="preserve"> PAGEREF _Toc262297427 \h </w:instrText>
        </w:r>
        <w:r w:rsidR="006A60A1">
          <w:rPr>
            <w:noProof/>
            <w:webHidden/>
          </w:rPr>
        </w:r>
        <w:r w:rsidR="006A60A1">
          <w:rPr>
            <w:noProof/>
            <w:webHidden/>
          </w:rPr>
          <w:fldChar w:fldCharType="separate"/>
        </w:r>
        <w:r w:rsidR="005A51D5">
          <w:rPr>
            <w:noProof/>
            <w:webHidden/>
          </w:rPr>
          <w:t>18</w:t>
        </w:r>
        <w:r w:rsidR="006A60A1">
          <w:rPr>
            <w:noProof/>
            <w:webHidden/>
          </w:rPr>
          <w:fldChar w:fldCharType="end"/>
        </w:r>
      </w:hyperlink>
    </w:p>
    <w:p w14:paraId="6E7A2600" w14:textId="77777777" w:rsidR="005A51D5" w:rsidRDefault="00F3583A">
      <w:pPr>
        <w:pStyle w:val="TOC2"/>
        <w:tabs>
          <w:tab w:val="right" w:leader="dot" w:pos="12950"/>
        </w:tabs>
        <w:rPr>
          <w:noProof/>
          <w:lang w:bidi="ar-SA"/>
        </w:rPr>
      </w:pPr>
      <w:hyperlink w:anchor="_Toc262297428" w:history="1">
        <w:r w:rsidR="005A51D5" w:rsidRPr="00A1541B">
          <w:rPr>
            <w:rStyle w:val="Hyperlink"/>
            <w:noProof/>
          </w:rPr>
          <w:t>Category I:  Program Design, Governance, and Qualities</w:t>
        </w:r>
        <w:r w:rsidR="005A51D5">
          <w:rPr>
            <w:noProof/>
            <w:webHidden/>
          </w:rPr>
          <w:tab/>
        </w:r>
        <w:r w:rsidR="006A60A1">
          <w:rPr>
            <w:noProof/>
            <w:webHidden/>
          </w:rPr>
          <w:fldChar w:fldCharType="begin"/>
        </w:r>
        <w:r w:rsidR="005A51D5">
          <w:rPr>
            <w:noProof/>
            <w:webHidden/>
          </w:rPr>
          <w:instrText xml:space="preserve"> PAGEREF _Toc262297428 \h </w:instrText>
        </w:r>
        <w:r w:rsidR="006A60A1">
          <w:rPr>
            <w:noProof/>
            <w:webHidden/>
          </w:rPr>
        </w:r>
        <w:r w:rsidR="006A60A1">
          <w:rPr>
            <w:noProof/>
            <w:webHidden/>
          </w:rPr>
          <w:fldChar w:fldCharType="separate"/>
        </w:r>
        <w:r w:rsidR="005A51D5">
          <w:rPr>
            <w:noProof/>
            <w:webHidden/>
          </w:rPr>
          <w:t>19</w:t>
        </w:r>
        <w:r w:rsidR="006A60A1">
          <w:rPr>
            <w:noProof/>
            <w:webHidden/>
          </w:rPr>
          <w:fldChar w:fldCharType="end"/>
        </w:r>
      </w:hyperlink>
    </w:p>
    <w:p w14:paraId="5F10C955" w14:textId="77777777" w:rsidR="005A51D5" w:rsidRDefault="00F3583A">
      <w:pPr>
        <w:pStyle w:val="TOC3"/>
        <w:tabs>
          <w:tab w:val="right" w:leader="dot" w:pos="12950"/>
        </w:tabs>
        <w:rPr>
          <w:noProof/>
          <w:lang w:bidi="ar-SA"/>
        </w:rPr>
      </w:pPr>
      <w:hyperlink w:anchor="_Toc262297429" w:history="1">
        <w:r w:rsidR="005A51D5" w:rsidRPr="00A1541B">
          <w:rPr>
            <w:rStyle w:val="Hyperlink"/>
            <w:noProof/>
          </w:rPr>
          <w:t>Standard I:  Program Design and Rationale</w:t>
        </w:r>
        <w:r w:rsidR="005A51D5">
          <w:rPr>
            <w:noProof/>
            <w:webHidden/>
          </w:rPr>
          <w:tab/>
        </w:r>
        <w:r w:rsidR="006A60A1">
          <w:rPr>
            <w:noProof/>
            <w:webHidden/>
          </w:rPr>
          <w:fldChar w:fldCharType="begin"/>
        </w:r>
        <w:r w:rsidR="005A51D5">
          <w:rPr>
            <w:noProof/>
            <w:webHidden/>
          </w:rPr>
          <w:instrText xml:space="preserve"> PAGEREF _Toc262297429 \h </w:instrText>
        </w:r>
        <w:r w:rsidR="006A60A1">
          <w:rPr>
            <w:noProof/>
            <w:webHidden/>
          </w:rPr>
        </w:r>
        <w:r w:rsidR="006A60A1">
          <w:rPr>
            <w:noProof/>
            <w:webHidden/>
          </w:rPr>
          <w:fldChar w:fldCharType="separate"/>
        </w:r>
        <w:r w:rsidR="005A51D5">
          <w:rPr>
            <w:noProof/>
            <w:webHidden/>
          </w:rPr>
          <w:t>19</w:t>
        </w:r>
        <w:r w:rsidR="006A60A1">
          <w:rPr>
            <w:noProof/>
            <w:webHidden/>
          </w:rPr>
          <w:fldChar w:fldCharType="end"/>
        </w:r>
      </w:hyperlink>
    </w:p>
    <w:p w14:paraId="22089B1F" w14:textId="77777777" w:rsidR="005A51D5" w:rsidRDefault="00F3583A">
      <w:pPr>
        <w:pStyle w:val="TOC3"/>
        <w:tabs>
          <w:tab w:val="right" w:leader="dot" w:pos="12950"/>
        </w:tabs>
        <w:rPr>
          <w:noProof/>
          <w:lang w:bidi="ar-SA"/>
        </w:rPr>
      </w:pPr>
      <w:hyperlink w:anchor="_Toc262297430" w:history="1">
        <w:r w:rsidR="005A51D5" w:rsidRPr="00A1541B">
          <w:rPr>
            <w:rStyle w:val="Hyperlink"/>
            <w:noProof/>
          </w:rPr>
          <w:t>Standard 2: Equity, Diversity and Access to the Curriculum for All Students</w:t>
        </w:r>
        <w:r w:rsidR="005A51D5">
          <w:rPr>
            <w:noProof/>
            <w:webHidden/>
          </w:rPr>
          <w:tab/>
        </w:r>
        <w:r w:rsidR="006A60A1">
          <w:rPr>
            <w:noProof/>
            <w:webHidden/>
          </w:rPr>
          <w:fldChar w:fldCharType="begin"/>
        </w:r>
        <w:r w:rsidR="005A51D5">
          <w:rPr>
            <w:noProof/>
            <w:webHidden/>
          </w:rPr>
          <w:instrText xml:space="preserve"> PAGEREF _Toc262297430 \h </w:instrText>
        </w:r>
        <w:r w:rsidR="006A60A1">
          <w:rPr>
            <w:noProof/>
            <w:webHidden/>
          </w:rPr>
        </w:r>
        <w:r w:rsidR="006A60A1">
          <w:rPr>
            <w:noProof/>
            <w:webHidden/>
          </w:rPr>
          <w:fldChar w:fldCharType="separate"/>
        </w:r>
        <w:r w:rsidR="005A51D5">
          <w:rPr>
            <w:noProof/>
            <w:webHidden/>
          </w:rPr>
          <w:t>20</w:t>
        </w:r>
        <w:r w:rsidR="006A60A1">
          <w:rPr>
            <w:noProof/>
            <w:webHidden/>
          </w:rPr>
          <w:fldChar w:fldCharType="end"/>
        </w:r>
      </w:hyperlink>
    </w:p>
    <w:p w14:paraId="3F33B48D" w14:textId="77777777" w:rsidR="005A51D5" w:rsidRDefault="00F3583A">
      <w:pPr>
        <w:pStyle w:val="TOC3"/>
        <w:tabs>
          <w:tab w:val="right" w:leader="dot" w:pos="12950"/>
        </w:tabs>
        <w:rPr>
          <w:noProof/>
          <w:lang w:bidi="ar-SA"/>
        </w:rPr>
      </w:pPr>
      <w:hyperlink w:anchor="_Toc262297431" w:history="1">
        <w:r w:rsidR="005A51D5" w:rsidRPr="00A1541B">
          <w:rPr>
            <w:rStyle w:val="Hyperlink"/>
            <w:noProof/>
          </w:rPr>
          <w:t>Standard 3: Early Orientation</w:t>
        </w:r>
        <w:r w:rsidR="005A51D5">
          <w:rPr>
            <w:noProof/>
            <w:webHidden/>
          </w:rPr>
          <w:tab/>
        </w:r>
        <w:r w:rsidR="006A60A1">
          <w:rPr>
            <w:noProof/>
            <w:webHidden/>
          </w:rPr>
          <w:fldChar w:fldCharType="begin"/>
        </w:r>
        <w:r w:rsidR="005A51D5">
          <w:rPr>
            <w:noProof/>
            <w:webHidden/>
          </w:rPr>
          <w:instrText xml:space="preserve"> PAGEREF _Toc262297431 \h </w:instrText>
        </w:r>
        <w:r w:rsidR="006A60A1">
          <w:rPr>
            <w:noProof/>
            <w:webHidden/>
          </w:rPr>
        </w:r>
        <w:r w:rsidR="006A60A1">
          <w:rPr>
            <w:noProof/>
            <w:webHidden/>
          </w:rPr>
          <w:fldChar w:fldCharType="separate"/>
        </w:r>
        <w:r w:rsidR="005A51D5">
          <w:rPr>
            <w:noProof/>
            <w:webHidden/>
          </w:rPr>
          <w:t>21</w:t>
        </w:r>
        <w:r w:rsidR="006A60A1">
          <w:rPr>
            <w:noProof/>
            <w:webHidden/>
          </w:rPr>
          <w:fldChar w:fldCharType="end"/>
        </w:r>
      </w:hyperlink>
    </w:p>
    <w:p w14:paraId="3DA25938" w14:textId="77777777" w:rsidR="005A51D5" w:rsidRDefault="00F3583A">
      <w:pPr>
        <w:pStyle w:val="TOC3"/>
        <w:tabs>
          <w:tab w:val="right" w:leader="dot" w:pos="12950"/>
        </w:tabs>
        <w:rPr>
          <w:noProof/>
          <w:lang w:bidi="ar-SA"/>
        </w:rPr>
      </w:pPr>
      <w:hyperlink w:anchor="_Toc262297432" w:history="1">
        <w:r w:rsidR="005A51D5" w:rsidRPr="00A1541B">
          <w:rPr>
            <w:rStyle w:val="Hyperlink"/>
            <w:noProof/>
          </w:rPr>
          <w:t>Standard 4: Collaboration with Local Educators</w:t>
        </w:r>
        <w:r w:rsidR="005A51D5">
          <w:rPr>
            <w:noProof/>
            <w:webHidden/>
          </w:rPr>
          <w:tab/>
        </w:r>
        <w:r w:rsidR="006A60A1">
          <w:rPr>
            <w:noProof/>
            <w:webHidden/>
          </w:rPr>
          <w:fldChar w:fldCharType="begin"/>
        </w:r>
        <w:r w:rsidR="005A51D5">
          <w:rPr>
            <w:noProof/>
            <w:webHidden/>
          </w:rPr>
          <w:instrText xml:space="preserve"> PAGEREF _Toc262297432 \h </w:instrText>
        </w:r>
        <w:r w:rsidR="006A60A1">
          <w:rPr>
            <w:noProof/>
            <w:webHidden/>
          </w:rPr>
        </w:r>
        <w:r w:rsidR="006A60A1">
          <w:rPr>
            <w:noProof/>
            <w:webHidden/>
          </w:rPr>
          <w:fldChar w:fldCharType="separate"/>
        </w:r>
        <w:r w:rsidR="005A51D5">
          <w:rPr>
            <w:noProof/>
            <w:webHidden/>
          </w:rPr>
          <w:t>22</w:t>
        </w:r>
        <w:r w:rsidR="006A60A1">
          <w:rPr>
            <w:noProof/>
            <w:webHidden/>
          </w:rPr>
          <w:fldChar w:fldCharType="end"/>
        </w:r>
      </w:hyperlink>
    </w:p>
    <w:p w14:paraId="18458493" w14:textId="77777777" w:rsidR="005A51D5" w:rsidRDefault="00F3583A">
      <w:pPr>
        <w:pStyle w:val="TOC3"/>
        <w:tabs>
          <w:tab w:val="right" w:leader="dot" w:pos="12950"/>
        </w:tabs>
        <w:rPr>
          <w:noProof/>
          <w:lang w:bidi="ar-SA"/>
        </w:rPr>
      </w:pPr>
      <w:hyperlink w:anchor="_Toc262297433" w:history="1">
        <w:r w:rsidR="005A51D5" w:rsidRPr="00A1541B">
          <w:rPr>
            <w:rStyle w:val="Hyperlink"/>
            <w:noProof/>
          </w:rPr>
          <w:t>Standard 5: Initial Teacher Support and Advisement</w:t>
        </w:r>
        <w:r w:rsidR="005A51D5">
          <w:rPr>
            <w:noProof/>
            <w:webHidden/>
          </w:rPr>
          <w:tab/>
        </w:r>
        <w:r w:rsidR="006A60A1">
          <w:rPr>
            <w:noProof/>
            <w:webHidden/>
          </w:rPr>
          <w:fldChar w:fldCharType="begin"/>
        </w:r>
        <w:r w:rsidR="005A51D5">
          <w:rPr>
            <w:noProof/>
            <w:webHidden/>
          </w:rPr>
          <w:instrText xml:space="preserve"> PAGEREF _Toc262297433 \h </w:instrText>
        </w:r>
        <w:r w:rsidR="006A60A1">
          <w:rPr>
            <w:noProof/>
            <w:webHidden/>
          </w:rPr>
        </w:r>
        <w:r w:rsidR="006A60A1">
          <w:rPr>
            <w:noProof/>
            <w:webHidden/>
          </w:rPr>
          <w:fldChar w:fldCharType="separate"/>
        </w:r>
        <w:r w:rsidR="005A51D5">
          <w:rPr>
            <w:noProof/>
            <w:webHidden/>
          </w:rPr>
          <w:t>23</w:t>
        </w:r>
        <w:r w:rsidR="006A60A1">
          <w:rPr>
            <w:noProof/>
            <w:webHidden/>
          </w:rPr>
          <w:fldChar w:fldCharType="end"/>
        </w:r>
      </w:hyperlink>
    </w:p>
    <w:p w14:paraId="3DFBBCF7" w14:textId="77777777" w:rsidR="005A51D5" w:rsidRDefault="00F3583A">
      <w:pPr>
        <w:pStyle w:val="TOC3"/>
        <w:tabs>
          <w:tab w:val="right" w:leader="dot" w:pos="12950"/>
        </w:tabs>
        <w:rPr>
          <w:noProof/>
          <w:lang w:bidi="ar-SA"/>
        </w:rPr>
      </w:pPr>
      <w:hyperlink w:anchor="_Toc262297434" w:history="1">
        <w:r w:rsidR="005A51D5" w:rsidRPr="00A1541B">
          <w:rPr>
            <w:rStyle w:val="Hyperlink"/>
            <w:noProof/>
          </w:rPr>
          <w:t>Standard 6: Determination of CTE Teacher Competence</w:t>
        </w:r>
        <w:r w:rsidR="005A51D5">
          <w:rPr>
            <w:noProof/>
            <w:webHidden/>
          </w:rPr>
          <w:tab/>
        </w:r>
        <w:r w:rsidR="006A60A1">
          <w:rPr>
            <w:noProof/>
            <w:webHidden/>
          </w:rPr>
          <w:fldChar w:fldCharType="begin"/>
        </w:r>
        <w:r w:rsidR="005A51D5">
          <w:rPr>
            <w:noProof/>
            <w:webHidden/>
          </w:rPr>
          <w:instrText xml:space="preserve"> PAGEREF _Toc262297434 \h </w:instrText>
        </w:r>
        <w:r w:rsidR="006A60A1">
          <w:rPr>
            <w:noProof/>
            <w:webHidden/>
          </w:rPr>
        </w:r>
        <w:r w:rsidR="006A60A1">
          <w:rPr>
            <w:noProof/>
            <w:webHidden/>
          </w:rPr>
          <w:fldChar w:fldCharType="separate"/>
        </w:r>
        <w:r w:rsidR="005A51D5">
          <w:rPr>
            <w:noProof/>
            <w:webHidden/>
          </w:rPr>
          <w:t>24</w:t>
        </w:r>
        <w:r w:rsidR="006A60A1">
          <w:rPr>
            <w:noProof/>
            <w:webHidden/>
          </w:rPr>
          <w:fldChar w:fldCharType="end"/>
        </w:r>
      </w:hyperlink>
    </w:p>
    <w:p w14:paraId="7D8D2718" w14:textId="77777777" w:rsidR="005A51D5" w:rsidRDefault="00F3583A">
      <w:pPr>
        <w:pStyle w:val="TOC3"/>
        <w:tabs>
          <w:tab w:val="right" w:leader="dot" w:pos="12950"/>
        </w:tabs>
        <w:rPr>
          <w:noProof/>
          <w:lang w:bidi="ar-SA"/>
        </w:rPr>
      </w:pPr>
      <w:hyperlink w:anchor="_Toc262297435" w:history="1">
        <w:r w:rsidR="005A51D5" w:rsidRPr="00A1541B">
          <w:rPr>
            <w:rStyle w:val="Hyperlink"/>
            <w:noProof/>
          </w:rPr>
          <w:t>Standard 7: Advanced Programs of Preparation</w:t>
        </w:r>
        <w:r w:rsidR="005A51D5">
          <w:rPr>
            <w:noProof/>
            <w:webHidden/>
          </w:rPr>
          <w:tab/>
        </w:r>
        <w:r w:rsidR="006A60A1">
          <w:rPr>
            <w:noProof/>
            <w:webHidden/>
          </w:rPr>
          <w:fldChar w:fldCharType="begin"/>
        </w:r>
        <w:r w:rsidR="005A51D5">
          <w:rPr>
            <w:noProof/>
            <w:webHidden/>
          </w:rPr>
          <w:instrText xml:space="preserve"> PAGEREF _Toc262297435 \h </w:instrText>
        </w:r>
        <w:r w:rsidR="006A60A1">
          <w:rPr>
            <w:noProof/>
            <w:webHidden/>
          </w:rPr>
        </w:r>
        <w:r w:rsidR="006A60A1">
          <w:rPr>
            <w:noProof/>
            <w:webHidden/>
          </w:rPr>
          <w:fldChar w:fldCharType="separate"/>
        </w:r>
        <w:r w:rsidR="005A51D5">
          <w:rPr>
            <w:noProof/>
            <w:webHidden/>
          </w:rPr>
          <w:t>25</w:t>
        </w:r>
        <w:r w:rsidR="006A60A1">
          <w:rPr>
            <w:noProof/>
            <w:webHidden/>
          </w:rPr>
          <w:fldChar w:fldCharType="end"/>
        </w:r>
      </w:hyperlink>
    </w:p>
    <w:p w14:paraId="2B21BBFB" w14:textId="77777777" w:rsidR="005A51D5" w:rsidRDefault="00F3583A">
      <w:pPr>
        <w:pStyle w:val="TOC2"/>
        <w:tabs>
          <w:tab w:val="right" w:leader="dot" w:pos="12950"/>
        </w:tabs>
        <w:rPr>
          <w:noProof/>
          <w:lang w:bidi="ar-SA"/>
        </w:rPr>
      </w:pPr>
      <w:hyperlink w:anchor="_Toc262297436" w:history="1">
        <w:r w:rsidR="005A51D5" w:rsidRPr="00A1541B">
          <w:rPr>
            <w:rStyle w:val="Hyperlink"/>
            <w:noProof/>
          </w:rPr>
          <w:t>Category II: Preparation to Teach Curriculum to All Students In California Schools</w:t>
        </w:r>
        <w:r w:rsidR="005A51D5">
          <w:rPr>
            <w:noProof/>
            <w:webHidden/>
          </w:rPr>
          <w:tab/>
        </w:r>
        <w:r w:rsidR="006A60A1">
          <w:rPr>
            <w:noProof/>
            <w:webHidden/>
          </w:rPr>
          <w:fldChar w:fldCharType="begin"/>
        </w:r>
        <w:r w:rsidR="005A51D5">
          <w:rPr>
            <w:noProof/>
            <w:webHidden/>
          </w:rPr>
          <w:instrText xml:space="preserve"> PAGEREF _Toc262297436 \h </w:instrText>
        </w:r>
        <w:r w:rsidR="006A60A1">
          <w:rPr>
            <w:noProof/>
            <w:webHidden/>
          </w:rPr>
        </w:r>
        <w:r w:rsidR="006A60A1">
          <w:rPr>
            <w:noProof/>
            <w:webHidden/>
          </w:rPr>
          <w:fldChar w:fldCharType="separate"/>
        </w:r>
        <w:r w:rsidR="005A51D5">
          <w:rPr>
            <w:noProof/>
            <w:webHidden/>
          </w:rPr>
          <w:t>26</w:t>
        </w:r>
        <w:r w:rsidR="006A60A1">
          <w:rPr>
            <w:noProof/>
            <w:webHidden/>
          </w:rPr>
          <w:fldChar w:fldCharType="end"/>
        </w:r>
      </w:hyperlink>
    </w:p>
    <w:p w14:paraId="48355431" w14:textId="77777777" w:rsidR="005A51D5" w:rsidRDefault="00F3583A">
      <w:pPr>
        <w:pStyle w:val="TOC3"/>
        <w:tabs>
          <w:tab w:val="right" w:leader="dot" w:pos="12950"/>
        </w:tabs>
        <w:rPr>
          <w:noProof/>
          <w:lang w:bidi="ar-SA"/>
        </w:rPr>
      </w:pPr>
      <w:hyperlink w:anchor="_Toc262297437" w:history="1">
        <w:r w:rsidR="005A51D5" w:rsidRPr="00A1541B">
          <w:rPr>
            <w:rStyle w:val="Hyperlink"/>
            <w:noProof/>
          </w:rPr>
          <w:t>Standard 8: Curriculum</w:t>
        </w:r>
        <w:r w:rsidR="005A51D5">
          <w:rPr>
            <w:noProof/>
            <w:webHidden/>
          </w:rPr>
          <w:tab/>
        </w:r>
        <w:r w:rsidR="006A60A1">
          <w:rPr>
            <w:noProof/>
            <w:webHidden/>
          </w:rPr>
          <w:fldChar w:fldCharType="begin"/>
        </w:r>
        <w:r w:rsidR="005A51D5">
          <w:rPr>
            <w:noProof/>
            <w:webHidden/>
          </w:rPr>
          <w:instrText xml:space="preserve"> PAGEREF _Toc262297437 \h </w:instrText>
        </w:r>
        <w:r w:rsidR="006A60A1">
          <w:rPr>
            <w:noProof/>
            <w:webHidden/>
          </w:rPr>
        </w:r>
        <w:r w:rsidR="006A60A1">
          <w:rPr>
            <w:noProof/>
            <w:webHidden/>
          </w:rPr>
          <w:fldChar w:fldCharType="separate"/>
        </w:r>
        <w:r w:rsidR="005A51D5">
          <w:rPr>
            <w:noProof/>
            <w:webHidden/>
          </w:rPr>
          <w:t>26</w:t>
        </w:r>
        <w:r w:rsidR="006A60A1">
          <w:rPr>
            <w:noProof/>
            <w:webHidden/>
          </w:rPr>
          <w:fldChar w:fldCharType="end"/>
        </w:r>
      </w:hyperlink>
    </w:p>
    <w:p w14:paraId="40EBA4A2" w14:textId="77777777" w:rsidR="005A51D5" w:rsidRDefault="00F3583A">
      <w:pPr>
        <w:pStyle w:val="TOC3"/>
        <w:tabs>
          <w:tab w:val="right" w:leader="dot" w:pos="12950"/>
        </w:tabs>
        <w:rPr>
          <w:noProof/>
          <w:lang w:bidi="ar-SA"/>
        </w:rPr>
      </w:pPr>
      <w:hyperlink w:anchor="_Toc262297438" w:history="1">
        <w:r w:rsidR="005A51D5" w:rsidRPr="00A1541B">
          <w:rPr>
            <w:rStyle w:val="Hyperlink"/>
            <w:noProof/>
          </w:rPr>
          <w:t>Standard 9: Learning and Instruction</w:t>
        </w:r>
        <w:r w:rsidR="005A51D5">
          <w:rPr>
            <w:noProof/>
            <w:webHidden/>
          </w:rPr>
          <w:tab/>
        </w:r>
        <w:r w:rsidR="006A60A1">
          <w:rPr>
            <w:noProof/>
            <w:webHidden/>
          </w:rPr>
          <w:fldChar w:fldCharType="begin"/>
        </w:r>
        <w:r w:rsidR="005A51D5">
          <w:rPr>
            <w:noProof/>
            <w:webHidden/>
          </w:rPr>
          <w:instrText xml:space="preserve"> PAGEREF _Toc262297438 \h </w:instrText>
        </w:r>
        <w:r w:rsidR="006A60A1">
          <w:rPr>
            <w:noProof/>
            <w:webHidden/>
          </w:rPr>
        </w:r>
        <w:r w:rsidR="006A60A1">
          <w:rPr>
            <w:noProof/>
            <w:webHidden/>
          </w:rPr>
          <w:fldChar w:fldCharType="separate"/>
        </w:r>
        <w:r w:rsidR="005A51D5">
          <w:rPr>
            <w:noProof/>
            <w:webHidden/>
          </w:rPr>
          <w:t>27</w:t>
        </w:r>
        <w:r w:rsidR="006A60A1">
          <w:rPr>
            <w:noProof/>
            <w:webHidden/>
          </w:rPr>
          <w:fldChar w:fldCharType="end"/>
        </w:r>
      </w:hyperlink>
    </w:p>
    <w:p w14:paraId="2B17A39C" w14:textId="77777777" w:rsidR="005A51D5" w:rsidRDefault="00F3583A">
      <w:pPr>
        <w:pStyle w:val="TOC3"/>
        <w:tabs>
          <w:tab w:val="right" w:leader="dot" w:pos="12950"/>
        </w:tabs>
        <w:rPr>
          <w:noProof/>
          <w:lang w:bidi="ar-SA"/>
        </w:rPr>
      </w:pPr>
      <w:hyperlink w:anchor="_Toc262297439" w:history="1">
        <w:r w:rsidR="005A51D5" w:rsidRPr="00A1541B">
          <w:rPr>
            <w:rStyle w:val="Hyperlink"/>
            <w:noProof/>
          </w:rPr>
          <w:t>Standard 10: Assessing Student Learning</w:t>
        </w:r>
        <w:r w:rsidR="005A51D5">
          <w:rPr>
            <w:noProof/>
            <w:webHidden/>
          </w:rPr>
          <w:tab/>
        </w:r>
        <w:r w:rsidR="006A60A1">
          <w:rPr>
            <w:noProof/>
            <w:webHidden/>
          </w:rPr>
          <w:fldChar w:fldCharType="begin"/>
        </w:r>
        <w:r w:rsidR="005A51D5">
          <w:rPr>
            <w:noProof/>
            <w:webHidden/>
          </w:rPr>
          <w:instrText xml:space="preserve"> PAGEREF _Toc262297439 \h </w:instrText>
        </w:r>
        <w:r w:rsidR="006A60A1">
          <w:rPr>
            <w:noProof/>
            <w:webHidden/>
          </w:rPr>
        </w:r>
        <w:r w:rsidR="006A60A1">
          <w:rPr>
            <w:noProof/>
            <w:webHidden/>
          </w:rPr>
          <w:fldChar w:fldCharType="separate"/>
        </w:r>
        <w:r w:rsidR="005A51D5">
          <w:rPr>
            <w:noProof/>
            <w:webHidden/>
          </w:rPr>
          <w:t>28</w:t>
        </w:r>
        <w:r w:rsidR="006A60A1">
          <w:rPr>
            <w:noProof/>
            <w:webHidden/>
          </w:rPr>
          <w:fldChar w:fldCharType="end"/>
        </w:r>
      </w:hyperlink>
    </w:p>
    <w:p w14:paraId="44EC5975" w14:textId="77777777" w:rsidR="005A51D5" w:rsidRDefault="00F3583A">
      <w:pPr>
        <w:pStyle w:val="TOC3"/>
        <w:tabs>
          <w:tab w:val="right" w:leader="dot" w:pos="12950"/>
        </w:tabs>
        <w:rPr>
          <w:noProof/>
          <w:lang w:bidi="ar-SA"/>
        </w:rPr>
      </w:pPr>
      <w:hyperlink w:anchor="_Toc262297440" w:history="1">
        <w:r w:rsidR="005A51D5" w:rsidRPr="00A1541B">
          <w:rPr>
            <w:rStyle w:val="Hyperlink"/>
            <w:noProof/>
          </w:rPr>
          <w:t>Standard 11: Using Education Technology in the Classroom</w:t>
        </w:r>
        <w:r w:rsidR="005A51D5">
          <w:rPr>
            <w:noProof/>
            <w:webHidden/>
          </w:rPr>
          <w:tab/>
        </w:r>
        <w:r w:rsidR="006A60A1">
          <w:rPr>
            <w:noProof/>
            <w:webHidden/>
          </w:rPr>
          <w:fldChar w:fldCharType="begin"/>
        </w:r>
        <w:r w:rsidR="005A51D5">
          <w:rPr>
            <w:noProof/>
            <w:webHidden/>
          </w:rPr>
          <w:instrText xml:space="preserve"> PAGEREF _Toc262297440 \h </w:instrText>
        </w:r>
        <w:r w:rsidR="006A60A1">
          <w:rPr>
            <w:noProof/>
            <w:webHidden/>
          </w:rPr>
        </w:r>
        <w:r w:rsidR="006A60A1">
          <w:rPr>
            <w:noProof/>
            <w:webHidden/>
          </w:rPr>
          <w:fldChar w:fldCharType="separate"/>
        </w:r>
        <w:r w:rsidR="005A51D5">
          <w:rPr>
            <w:noProof/>
            <w:webHidden/>
          </w:rPr>
          <w:t>29</w:t>
        </w:r>
        <w:r w:rsidR="006A60A1">
          <w:rPr>
            <w:noProof/>
            <w:webHidden/>
          </w:rPr>
          <w:fldChar w:fldCharType="end"/>
        </w:r>
      </w:hyperlink>
    </w:p>
    <w:p w14:paraId="3A30C9C7" w14:textId="77777777" w:rsidR="005A51D5" w:rsidRDefault="00F3583A">
      <w:pPr>
        <w:pStyle w:val="TOC3"/>
        <w:tabs>
          <w:tab w:val="right" w:leader="dot" w:pos="12950"/>
        </w:tabs>
        <w:rPr>
          <w:noProof/>
          <w:lang w:bidi="ar-SA"/>
        </w:rPr>
      </w:pPr>
      <w:hyperlink w:anchor="_Toc262297441" w:history="1">
        <w:r w:rsidR="005A51D5" w:rsidRPr="00A1541B">
          <w:rPr>
            <w:rStyle w:val="Hyperlink"/>
            <w:noProof/>
          </w:rPr>
          <w:t>Standard 12: Classroom and Laboratory Management</w:t>
        </w:r>
        <w:r w:rsidR="005A51D5">
          <w:rPr>
            <w:noProof/>
            <w:webHidden/>
          </w:rPr>
          <w:tab/>
        </w:r>
        <w:r w:rsidR="006A60A1">
          <w:rPr>
            <w:noProof/>
            <w:webHidden/>
          </w:rPr>
          <w:fldChar w:fldCharType="begin"/>
        </w:r>
        <w:r w:rsidR="005A51D5">
          <w:rPr>
            <w:noProof/>
            <w:webHidden/>
          </w:rPr>
          <w:instrText xml:space="preserve"> PAGEREF _Toc262297441 \h </w:instrText>
        </w:r>
        <w:r w:rsidR="006A60A1">
          <w:rPr>
            <w:noProof/>
            <w:webHidden/>
          </w:rPr>
        </w:r>
        <w:r w:rsidR="006A60A1">
          <w:rPr>
            <w:noProof/>
            <w:webHidden/>
          </w:rPr>
          <w:fldChar w:fldCharType="separate"/>
        </w:r>
        <w:r w:rsidR="005A51D5">
          <w:rPr>
            <w:noProof/>
            <w:webHidden/>
          </w:rPr>
          <w:t>30</w:t>
        </w:r>
        <w:r w:rsidR="006A60A1">
          <w:rPr>
            <w:noProof/>
            <w:webHidden/>
          </w:rPr>
          <w:fldChar w:fldCharType="end"/>
        </w:r>
      </w:hyperlink>
    </w:p>
    <w:p w14:paraId="7CB99CD3" w14:textId="77777777" w:rsidR="005A51D5" w:rsidRDefault="00F3583A">
      <w:pPr>
        <w:pStyle w:val="TOC3"/>
        <w:tabs>
          <w:tab w:val="right" w:leader="dot" w:pos="12950"/>
        </w:tabs>
        <w:rPr>
          <w:noProof/>
          <w:lang w:bidi="ar-SA"/>
        </w:rPr>
      </w:pPr>
      <w:hyperlink w:anchor="_Toc262297442" w:history="1">
        <w:r w:rsidR="005A51D5" w:rsidRPr="00A1541B">
          <w:rPr>
            <w:rStyle w:val="Hyperlink"/>
            <w:noProof/>
          </w:rPr>
          <w:t>Standard 13: Foundations</w:t>
        </w:r>
        <w:r w:rsidR="005A51D5">
          <w:rPr>
            <w:noProof/>
            <w:webHidden/>
          </w:rPr>
          <w:tab/>
        </w:r>
        <w:r w:rsidR="006A60A1">
          <w:rPr>
            <w:noProof/>
            <w:webHidden/>
          </w:rPr>
          <w:fldChar w:fldCharType="begin"/>
        </w:r>
        <w:r w:rsidR="005A51D5">
          <w:rPr>
            <w:noProof/>
            <w:webHidden/>
          </w:rPr>
          <w:instrText xml:space="preserve"> PAGEREF _Toc262297442 \h </w:instrText>
        </w:r>
        <w:r w:rsidR="006A60A1">
          <w:rPr>
            <w:noProof/>
            <w:webHidden/>
          </w:rPr>
        </w:r>
        <w:r w:rsidR="006A60A1">
          <w:rPr>
            <w:noProof/>
            <w:webHidden/>
          </w:rPr>
          <w:fldChar w:fldCharType="separate"/>
        </w:r>
        <w:r w:rsidR="005A51D5">
          <w:rPr>
            <w:noProof/>
            <w:webHidden/>
          </w:rPr>
          <w:t>31</w:t>
        </w:r>
        <w:r w:rsidR="006A60A1">
          <w:rPr>
            <w:noProof/>
            <w:webHidden/>
          </w:rPr>
          <w:fldChar w:fldCharType="end"/>
        </w:r>
      </w:hyperlink>
    </w:p>
    <w:p w14:paraId="77C23A11" w14:textId="77777777" w:rsidR="005A51D5" w:rsidRDefault="00F3583A">
      <w:pPr>
        <w:pStyle w:val="TOC3"/>
        <w:tabs>
          <w:tab w:val="right" w:leader="dot" w:pos="12950"/>
        </w:tabs>
        <w:rPr>
          <w:noProof/>
          <w:lang w:bidi="ar-SA"/>
        </w:rPr>
      </w:pPr>
      <w:hyperlink w:anchor="_Toc262297443" w:history="1">
        <w:r w:rsidR="005A51D5" w:rsidRPr="00A1541B">
          <w:rPr>
            <w:rStyle w:val="Hyperlink"/>
            <w:noProof/>
          </w:rPr>
          <w:t>Standard 14: Professional, Legal, and Ethical Responsibility</w:t>
        </w:r>
        <w:r w:rsidR="005A51D5">
          <w:rPr>
            <w:noProof/>
            <w:webHidden/>
          </w:rPr>
          <w:tab/>
        </w:r>
        <w:r w:rsidR="006A60A1">
          <w:rPr>
            <w:noProof/>
            <w:webHidden/>
          </w:rPr>
          <w:fldChar w:fldCharType="begin"/>
        </w:r>
        <w:r w:rsidR="005A51D5">
          <w:rPr>
            <w:noProof/>
            <w:webHidden/>
          </w:rPr>
          <w:instrText xml:space="preserve"> PAGEREF _Toc262297443 \h </w:instrText>
        </w:r>
        <w:r w:rsidR="006A60A1">
          <w:rPr>
            <w:noProof/>
            <w:webHidden/>
          </w:rPr>
        </w:r>
        <w:r w:rsidR="006A60A1">
          <w:rPr>
            <w:noProof/>
            <w:webHidden/>
          </w:rPr>
          <w:fldChar w:fldCharType="separate"/>
        </w:r>
        <w:r w:rsidR="005A51D5">
          <w:rPr>
            <w:noProof/>
            <w:webHidden/>
          </w:rPr>
          <w:t>32</w:t>
        </w:r>
        <w:r w:rsidR="006A60A1">
          <w:rPr>
            <w:noProof/>
            <w:webHidden/>
          </w:rPr>
          <w:fldChar w:fldCharType="end"/>
        </w:r>
      </w:hyperlink>
    </w:p>
    <w:p w14:paraId="713AA246" w14:textId="77777777" w:rsidR="005A51D5" w:rsidRDefault="00F3583A">
      <w:pPr>
        <w:pStyle w:val="TOC3"/>
        <w:tabs>
          <w:tab w:val="right" w:leader="dot" w:pos="12950"/>
        </w:tabs>
        <w:rPr>
          <w:noProof/>
          <w:lang w:bidi="ar-SA"/>
        </w:rPr>
      </w:pPr>
      <w:hyperlink w:anchor="_Toc262297444" w:history="1">
        <w:r w:rsidR="005A51D5" w:rsidRPr="00A1541B">
          <w:rPr>
            <w:rStyle w:val="Hyperlink"/>
            <w:noProof/>
          </w:rPr>
          <w:t>Standard 15: Teaching English Learners</w:t>
        </w:r>
        <w:r w:rsidR="005A51D5">
          <w:rPr>
            <w:noProof/>
            <w:webHidden/>
          </w:rPr>
          <w:tab/>
        </w:r>
        <w:r w:rsidR="006A60A1">
          <w:rPr>
            <w:noProof/>
            <w:webHidden/>
          </w:rPr>
          <w:fldChar w:fldCharType="begin"/>
        </w:r>
        <w:r w:rsidR="005A51D5">
          <w:rPr>
            <w:noProof/>
            <w:webHidden/>
          </w:rPr>
          <w:instrText xml:space="preserve"> PAGEREF _Toc262297444 \h </w:instrText>
        </w:r>
        <w:r w:rsidR="006A60A1">
          <w:rPr>
            <w:noProof/>
            <w:webHidden/>
          </w:rPr>
        </w:r>
        <w:r w:rsidR="006A60A1">
          <w:rPr>
            <w:noProof/>
            <w:webHidden/>
          </w:rPr>
          <w:fldChar w:fldCharType="separate"/>
        </w:r>
        <w:r w:rsidR="005A51D5">
          <w:rPr>
            <w:noProof/>
            <w:webHidden/>
          </w:rPr>
          <w:t>33</w:t>
        </w:r>
        <w:r w:rsidR="006A60A1">
          <w:rPr>
            <w:noProof/>
            <w:webHidden/>
          </w:rPr>
          <w:fldChar w:fldCharType="end"/>
        </w:r>
      </w:hyperlink>
    </w:p>
    <w:p w14:paraId="71703A42" w14:textId="77777777" w:rsidR="005A51D5" w:rsidRDefault="00F3583A">
      <w:pPr>
        <w:pStyle w:val="TOC3"/>
        <w:tabs>
          <w:tab w:val="right" w:leader="dot" w:pos="12950"/>
        </w:tabs>
        <w:rPr>
          <w:noProof/>
          <w:lang w:bidi="ar-SA"/>
        </w:rPr>
      </w:pPr>
      <w:hyperlink w:anchor="_Toc262297445" w:history="1">
        <w:r w:rsidR="005A51D5" w:rsidRPr="00A1541B">
          <w:rPr>
            <w:rStyle w:val="Hyperlink"/>
            <w:noProof/>
          </w:rPr>
          <w:t>Standard 16: Teaching Students with Special Needs</w:t>
        </w:r>
        <w:r w:rsidR="005A51D5">
          <w:rPr>
            <w:noProof/>
            <w:webHidden/>
          </w:rPr>
          <w:tab/>
        </w:r>
        <w:r w:rsidR="006A60A1">
          <w:rPr>
            <w:noProof/>
            <w:webHidden/>
          </w:rPr>
          <w:fldChar w:fldCharType="begin"/>
        </w:r>
        <w:r w:rsidR="005A51D5">
          <w:rPr>
            <w:noProof/>
            <w:webHidden/>
          </w:rPr>
          <w:instrText xml:space="preserve"> PAGEREF _Toc262297445 \h </w:instrText>
        </w:r>
        <w:r w:rsidR="006A60A1">
          <w:rPr>
            <w:noProof/>
            <w:webHidden/>
          </w:rPr>
        </w:r>
        <w:r w:rsidR="006A60A1">
          <w:rPr>
            <w:noProof/>
            <w:webHidden/>
          </w:rPr>
          <w:fldChar w:fldCharType="separate"/>
        </w:r>
        <w:r w:rsidR="005A51D5">
          <w:rPr>
            <w:noProof/>
            <w:webHidden/>
          </w:rPr>
          <w:t>34</w:t>
        </w:r>
        <w:r w:rsidR="006A60A1">
          <w:rPr>
            <w:noProof/>
            <w:webHidden/>
          </w:rPr>
          <w:fldChar w:fldCharType="end"/>
        </w:r>
      </w:hyperlink>
    </w:p>
    <w:p w14:paraId="7977E64A" w14:textId="77777777" w:rsidR="005A51D5" w:rsidRDefault="00F3583A">
      <w:pPr>
        <w:pStyle w:val="TOC1"/>
        <w:tabs>
          <w:tab w:val="right" w:leader="dot" w:pos="12950"/>
        </w:tabs>
        <w:rPr>
          <w:noProof/>
          <w:lang w:bidi="ar-SA"/>
        </w:rPr>
      </w:pPr>
      <w:hyperlink w:anchor="_Toc262297446" w:history="1">
        <w:r w:rsidR="005A51D5" w:rsidRPr="00A1541B">
          <w:rPr>
            <w:rStyle w:val="Hyperlink"/>
            <w:noProof/>
          </w:rPr>
          <w:t>Evidence and Artifacts</w:t>
        </w:r>
        <w:r w:rsidR="005A51D5">
          <w:rPr>
            <w:noProof/>
            <w:webHidden/>
          </w:rPr>
          <w:tab/>
        </w:r>
        <w:r w:rsidR="006A60A1">
          <w:rPr>
            <w:noProof/>
            <w:webHidden/>
          </w:rPr>
          <w:fldChar w:fldCharType="begin"/>
        </w:r>
        <w:r w:rsidR="005A51D5">
          <w:rPr>
            <w:noProof/>
            <w:webHidden/>
          </w:rPr>
          <w:instrText xml:space="preserve"> PAGEREF _Toc262297446 \h </w:instrText>
        </w:r>
        <w:r w:rsidR="006A60A1">
          <w:rPr>
            <w:noProof/>
            <w:webHidden/>
          </w:rPr>
        </w:r>
        <w:r w:rsidR="006A60A1">
          <w:rPr>
            <w:noProof/>
            <w:webHidden/>
          </w:rPr>
          <w:fldChar w:fldCharType="separate"/>
        </w:r>
        <w:r w:rsidR="005A51D5">
          <w:rPr>
            <w:noProof/>
            <w:webHidden/>
          </w:rPr>
          <w:t>35</w:t>
        </w:r>
        <w:r w:rsidR="006A60A1">
          <w:rPr>
            <w:noProof/>
            <w:webHidden/>
          </w:rPr>
          <w:fldChar w:fldCharType="end"/>
        </w:r>
      </w:hyperlink>
    </w:p>
    <w:p w14:paraId="07CAAFE1" w14:textId="77777777" w:rsidR="005A51D5" w:rsidRDefault="00F3583A">
      <w:pPr>
        <w:pStyle w:val="TOC2"/>
        <w:tabs>
          <w:tab w:val="right" w:leader="dot" w:pos="12950"/>
        </w:tabs>
        <w:rPr>
          <w:noProof/>
          <w:lang w:bidi="ar-SA"/>
        </w:rPr>
      </w:pPr>
      <w:hyperlink w:anchor="_Toc262297447" w:history="1">
        <w:r w:rsidR="005A51D5" w:rsidRPr="00A1541B">
          <w:rPr>
            <w:rStyle w:val="Hyperlink"/>
            <w:noProof/>
          </w:rPr>
          <w:t>Appendix A:  Course Syllabi [Include syllabus from all courses in curriculum.  A standard format is preferred.]</w:t>
        </w:r>
        <w:r w:rsidR="005A51D5">
          <w:rPr>
            <w:noProof/>
            <w:webHidden/>
          </w:rPr>
          <w:tab/>
        </w:r>
        <w:r w:rsidR="006A60A1">
          <w:rPr>
            <w:noProof/>
            <w:webHidden/>
          </w:rPr>
          <w:fldChar w:fldCharType="begin"/>
        </w:r>
        <w:r w:rsidR="005A51D5">
          <w:rPr>
            <w:noProof/>
            <w:webHidden/>
          </w:rPr>
          <w:instrText xml:space="preserve"> PAGEREF _Toc262297447 \h </w:instrText>
        </w:r>
        <w:r w:rsidR="006A60A1">
          <w:rPr>
            <w:noProof/>
            <w:webHidden/>
          </w:rPr>
        </w:r>
        <w:r w:rsidR="006A60A1">
          <w:rPr>
            <w:noProof/>
            <w:webHidden/>
          </w:rPr>
          <w:fldChar w:fldCharType="separate"/>
        </w:r>
        <w:r w:rsidR="005A51D5">
          <w:rPr>
            <w:noProof/>
            <w:webHidden/>
          </w:rPr>
          <w:t>36</w:t>
        </w:r>
        <w:r w:rsidR="006A60A1">
          <w:rPr>
            <w:noProof/>
            <w:webHidden/>
          </w:rPr>
          <w:fldChar w:fldCharType="end"/>
        </w:r>
      </w:hyperlink>
    </w:p>
    <w:p w14:paraId="05C9FC1F" w14:textId="77777777" w:rsidR="005A51D5" w:rsidRDefault="00F3583A">
      <w:pPr>
        <w:pStyle w:val="TOC2"/>
        <w:tabs>
          <w:tab w:val="right" w:leader="dot" w:pos="12950"/>
        </w:tabs>
        <w:rPr>
          <w:noProof/>
          <w:lang w:bidi="ar-SA"/>
        </w:rPr>
      </w:pPr>
      <w:hyperlink w:anchor="_Toc262297448" w:history="1">
        <w:r w:rsidR="005A51D5" w:rsidRPr="00A1541B">
          <w:rPr>
            <w:rStyle w:val="Hyperlink"/>
            <w:noProof/>
          </w:rPr>
          <w:t>Appendix B:  Textbook Table of Contents</w:t>
        </w:r>
        <w:r w:rsidR="005A51D5">
          <w:rPr>
            <w:noProof/>
            <w:webHidden/>
          </w:rPr>
          <w:tab/>
        </w:r>
        <w:r w:rsidR="006A60A1">
          <w:rPr>
            <w:noProof/>
            <w:webHidden/>
          </w:rPr>
          <w:fldChar w:fldCharType="begin"/>
        </w:r>
        <w:r w:rsidR="005A51D5">
          <w:rPr>
            <w:noProof/>
            <w:webHidden/>
          </w:rPr>
          <w:instrText xml:space="preserve"> PAGEREF _Toc262297448 \h </w:instrText>
        </w:r>
        <w:r w:rsidR="006A60A1">
          <w:rPr>
            <w:noProof/>
            <w:webHidden/>
          </w:rPr>
        </w:r>
        <w:r w:rsidR="006A60A1">
          <w:rPr>
            <w:noProof/>
            <w:webHidden/>
          </w:rPr>
          <w:fldChar w:fldCharType="separate"/>
        </w:r>
        <w:r w:rsidR="005A51D5">
          <w:rPr>
            <w:noProof/>
            <w:webHidden/>
          </w:rPr>
          <w:t>38</w:t>
        </w:r>
        <w:r w:rsidR="006A60A1">
          <w:rPr>
            <w:noProof/>
            <w:webHidden/>
          </w:rPr>
          <w:fldChar w:fldCharType="end"/>
        </w:r>
      </w:hyperlink>
    </w:p>
    <w:p w14:paraId="30D9D946" w14:textId="77777777" w:rsidR="005A51D5" w:rsidRDefault="00F3583A">
      <w:pPr>
        <w:pStyle w:val="TOC2"/>
        <w:tabs>
          <w:tab w:val="right" w:leader="dot" w:pos="12950"/>
        </w:tabs>
        <w:rPr>
          <w:noProof/>
          <w:lang w:bidi="ar-SA"/>
        </w:rPr>
      </w:pPr>
      <w:hyperlink w:anchor="_Toc262297449" w:history="1">
        <w:r w:rsidR="005A51D5" w:rsidRPr="00A1541B">
          <w:rPr>
            <w:rStyle w:val="Hyperlink"/>
            <w:noProof/>
          </w:rPr>
          <w:t>Appendix C:  Faculty Career Synopses and Curriculum Vitae</w:t>
        </w:r>
        <w:r w:rsidR="005A51D5">
          <w:rPr>
            <w:noProof/>
            <w:webHidden/>
          </w:rPr>
          <w:tab/>
        </w:r>
        <w:r w:rsidR="006A60A1">
          <w:rPr>
            <w:noProof/>
            <w:webHidden/>
          </w:rPr>
          <w:fldChar w:fldCharType="begin"/>
        </w:r>
        <w:r w:rsidR="005A51D5">
          <w:rPr>
            <w:noProof/>
            <w:webHidden/>
          </w:rPr>
          <w:instrText xml:space="preserve"> PAGEREF _Toc262297449 \h </w:instrText>
        </w:r>
        <w:r w:rsidR="006A60A1">
          <w:rPr>
            <w:noProof/>
            <w:webHidden/>
          </w:rPr>
        </w:r>
        <w:r w:rsidR="006A60A1">
          <w:rPr>
            <w:noProof/>
            <w:webHidden/>
          </w:rPr>
          <w:fldChar w:fldCharType="separate"/>
        </w:r>
        <w:r w:rsidR="005A51D5">
          <w:rPr>
            <w:noProof/>
            <w:webHidden/>
          </w:rPr>
          <w:t>40</w:t>
        </w:r>
        <w:r w:rsidR="006A60A1">
          <w:rPr>
            <w:noProof/>
            <w:webHidden/>
          </w:rPr>
          <w:fldChar w:fldCharType="end"/>
        </w:r>
      </w:hyperlink>
    </w:p>
    <w:p w14:paraId="30712C1F" w14:textId="77777777" w:rsidR="005A51D5" w:rsidRDefault="00F3583A">
      <w:pPr>
        <w:pStyle w:val="TOC2"/>
        <w:tabs>
          <w:tab w:val="right" w:leader="dot" w:pos="12950"/>
        </w:tabs>
        <w:rPr>
          <w:noProof/>
          <w:lang w:bidi="ar-SA"/>
        </w:rPr>
      </w:pPr>
      <w:hyperlink w:anchor="_Toc262297450" w:history="1">
        <w:r w:rsidR="005A51D5" w:rsidRPr="00A1541B">
          <w:rPr>
            <w:rStyle w:val="Hyperlink"/>
            <w:noProof/>
          </w:rPr>
          <w:t>Appendix D:  Advisory Committee Agenda and Minutes</w:t>
        </w:r>
        <w:r w:rsidR="005A51D5">
          <w:rPr>
            <w:noProof/>
            <w:webHidden/>
          </w:rPr>
          <w:tab/>
        </w:r>
        <w:r w:rsidR="006A60A1">
          <w:rPr>
            <w:noProof/>
            <w:webHidden/>
          </w:rPr>
          <w:fldChar w:fldCharType="begin"/>
        </w:r>
        <w:r w:rsidR="005A51D5">
          <w:rPr>
            <w:noProof/>
            <w:webHidden/>
          </w:rPr>
          <w:instrText xml:space="preserve"> PAGEREF _Toc262297450 \h </w:instrText>
        </w:r>
        <w:r w:rsidR="006A60A1">
          <w:rPr>
            <w:noProof/>
            <w:webHidden/>
          </w:rPr>
        </w:r>
        <w:r w:rsidR="006A60A1">
          <w:rPr>
            <w:noProof/>
            <w:webHidden/>
          </w:rPr>
          <w:fldChar w:fldCharType="separate"/>
        </w:r>
        <w:r w:rsidR="005A51D5">
          <w:rPr>
            <w:noProof/>
            <w:webHidden/>
          </w:rPr>
          <w:t>42</w:t>
        </w:r>
        <w:r w:rsidR="006A60A1">
          <w:rPr>
            <w:noProof/>
            <w:webHidden/>
          </w:rPr>
          <w:fldChar w:fldCharType="end"/>
        </w:r>
      </w:hyperlink>
    </w:p>
    <w:p w14:paraId="00B66500" w14:textId="77777777" w:rsidR="005A51D5" w:rsidRDefault="00F3583A">
      <w:pPr>
        <w:pStyle w:val="TOC2"/>
        <w:tabs>
          <w:tab w:val="right" w:leader="dot" w:pos="12950"/>
        </w:tabs>
        <w:rPr>
          <w:noProof/>
          <w:lang w:bidi="ar-SA"/>
        </w:rPr>
      </w:pPr>
      <w:hyperlink w:anchor="_Toc262297451" w:history="1">
        <w:r w:rsidR="005A51D5" w:rsidRPr="00A1541B">
          <w:rPr>
            <w:rStyle w:val="Hyperlink"/>
            <w:noProof/>
          </w:rPr>
          <w:t>Appendix E:  Letter of Agreement and Memorandum of Understanding</w:t>
        </w:r>
        <w:r w:rsidR="005A51D5">
          <w:rPr>
            <w:noProof/>
            <w:webHidden/>
          </w:rPr>
          <w:tab/>
        </w:r>
        <w:r w:rsidR="006A60A1">
          <w:rPr>
            <w:noProof/>
            <w:webHidden/>
          </w:rPr>
          <w:fldChar w:fldCharType="begin"/>
        </w:r>
        <w:r w:rsidR="005A51D5">
          <w:rPr>
            <w:noProof/>
            <w:webHidden/>
          </w:rPr>
          <w:instrText xml:space="preserve"> PAGEREF _Toc262297451 \h </w:instrText>
        </w:r>
        <w:r w:rsidR="006A60A1">
          <w:rPr>
            <w:noProof/>
            <w:webHidden/>
          </w:rPr>
        </w:r>
        <w:r w:rsidR="006A60A1">
          <w:rPr>
            <w:noProof/>
            <w:webHidden/>
          </w:rPr>
          <w:fldChar w:fldCharType="separate"/>
        </w:r>
        <w:r w:rsidR="005A51D5">
          <w:rPr>
            <w:noProof/>
            <w:webHidden/>
          </w:rPr>
          <w:t>44</w:t>
        </w:r>
        <w:r w:rsidR="006A60A1">
          <w:rPr>
            <w:noProof/>
            <w:webHidden/>
          </w:rPr>
          <w:fldChar w:fldCharType="end"/>
        </w:r>
      </w:hyperlink>
    </w:p>
    <w:p w14:paraId="704D6C44" w14:textId="77777777" w:rsidR="005A51D5" w:rsidRDefault="00F3583A">
      <w:pPr>
        <w:pStyle w:val="TOC2"/>
        <w:tabs>
          <w:tab w:val="right" w:leader="dot" w:pos="12950"/>
        </w:tabs>
        <w:rPr>
          <w:noProof/>
          <w:lang w:bidi="ar-SA"/>
        </w:rPr>
      </w:pPr>
      <w:hyperlink w:anchor="_Toc262297452" w:history="1">
        <w:r w:rsidR="005A51D5" w:rsidRPr="00A1541B">
          <w:rPr>
            <w:rStyle w:val="Hyperlink"/>
            <w:noProof/>
          </w:rPr>
          <w:t>Appendix F:</w:t>
        </w:r>
        <w:r w:rsidR="005A51D5">
          <w:rPr>
            <w:noProof/>
            <w:webHidden/>
          </w:rPr>
          <w:tab/>
        </w:r>
        <w:r w:rsidR="006A60A1">
          <w:rPr>
            <w:noProof/>
            <w:webHidden/>
          </w:rPr>
          <w:fldChar w:fldCharType="begin"/>
        </w:r>
        <w:r w:rsidR="005A51D5">
          <w:rPr>
            <w:noProof/>
            <w:webHidden/>
          </w:rPr>
          <w:instrText xml:space="preserve"> PAGEREF _Toc262297452 \h </w:instrText>
        </w:r>
        <w:r w:rsidR="006A60A1">
          <w:rPr>
            <w:noProof/>
            <w:webHidden/>
          </w:rPr>
        </w:r>
        <w:r w:rsidR="006A60A1">
          <w:rPr>
            <w:noProof/>
            <w:webHidden/>
          </w:rPr>
          <w:fldChar w:fldCharType="separate"/>
        </w:r>
        <w:r w:rsidR="005A51D5">
          <w:rPr>
            <w:noProof/>
            <w:webHidden/>
          </w:rPr>
          <w:t>47</w:t>
        </w:r>
        <w:r w:rsidR="006A60A1">
          <w:rPr>
            <w:noProof/>
            <w:webHidden/>
          </w:rPr>
          <w:fldChar w:fldCharType="end"/>
        </w:r>
      </w:hyperlink>
    </w:p>
    <w:p w14:paraId="653F608B" w14:textId="77777777" w:rsidR="00A165D3" w:rsidRPr="00627697" w:rsidRDefault="006A60A1">
      <w:pPr>
        <w:rPr>
          <w:szCs w:val="20"/>
        </w:rPr>
      </w:pPr>
      <w:r w:rsidRPr="00627697">
        <w:rPr>
          <w:szCs w:val="20"/>
        </w:rPr>
        <w:fldChar w:fldCharType="end"/>
      </w:r>
    </w:p>
    <w:p w14:paraId="4B6792D5" w14:textId="77777777" w:rsidR="00A165D3" w:rsidRPr="00627697" w:rsidRDefault="00A165D3">
      <w:pPr>
        <w:rPr>
          <w:rStyle w:val="Emphasis"/>
          <w:bCs w:val="0"/>
          <w:i w:val="0"/>
          <w:iCs w:val="0"/>
          <w:spacing w:val="0"/>
          <w:szCs w:val="20"/>
          <w:lang w:bidi="ar-SA"/>
        </w:rPr>
      </w:pPr>
      <w:r w:rsidRPr="00627697">
        <w:rPr>
          <w:rStyle w:val="Emphasis"/>
          <w:b w:val="0"/>
          <w:bCs w:val="0"/>
          <w:i w:val="0"/>
          <w:iCs w:val="0"/>
          <w:spacing w:val="0"/>
          <w:szCs w:val="20"/>
        </w:rPr>
        <w:br w:type="page"/>
      </w:r>
    </w:p>
    <w:p w14:paraId="5F78C327" w14:textId="77777777" w:rsidR="00035349" w:rsidRPr="005E4C94" w:rsidRDefault="003C44F9" w:rsidP="005E4C94">
      <w:pPr>
        <w:pStyle w:val="Heading1"/>
        <w:rPr>
          <w:rStyle w:val="Emphasis"/>
          <w:b/>
          <w:bCs w:val="0"/>
          <w:i w:val="0"/>
          <w:iCs w:val="0"/>
          <w:spacing w:val="0"/>
        </w:rPr>
      </w:pPr>
      <w:bookmarkStart w:id="0" w:name="_Toc262297393"/>
      <w:r w:rsidRPr="005E4C94">
        <w:rPr>
          <w:rStyle w:val="Emphasis"/>
          <w:b/>
          <w:bCs w:val="0"/>
          <w:i w:val="0"/>
          <w:iCs w:val="0"/>
          <w:spacing w:val="0"/>
        </w:rPr>
        <w:lastRenderedPageBreak/>
        <w:t>[</w:t>
      </w:r>
      <w:r w:rsidRPr="005E4C94">
        <w:t>Institution]</w:t>
      </w:r>
      <w:bookmarkEnd w:id="0"/>
    </w:p>
    <w:p w14:paraId="36E39DD7" w14:textId="77777777" w:rsidR="00035349" w:rsidRPr="00627697" w:rsidRDefault="00035349" w:rsidP="00BD790C">
      <w:pPr>
        <w:jc w:val="center"/>
        <w:rPr>
          <w:szCs w:val="20"/>
        </w:rPr>
      </w:pPr>
      <w:r w:rsidRPr="00627697">
        <w:rPr>
          <w:rStyle w:val="Emphasis"/>
          <w:bCs w:val="0"/>
          <w:i w:val="0"/>
          <w:iCs w:val="0"/>
          <w:spacing w:val="0"/>
          <w:szCs w:val="20"/>
        </w:rPr>
        <w:t>Mission</w:t>
      </w:r>
      <w:r w:rsidR="003C44F9">
        <w:rPr>
          <w:rStyle w:val="Emphasis"/>
          <w:bCs w:val="0"/>
          <w:i w:val="0"/>
          <w:iCs w:val="0"/>
          <w:spacing w:val="0"/>
          <w:szCs w:val="20"/>
        </w:rPr>
        <w:t>,</w:t>
      </w:r>
      <w:r w:rsidRPr="00627697">
        <w:rPr>
          <w:rStyle w:val="Emphasis"/>
          <w:bCs w:val="0"/>
          <w:i w:val="0"/>
          <w:iCs w:val="0"/>
          <w:spacing w:val="0"/>
          <w:szCs w:val="20"/>
        </w:rPr>
        <w:t xml:space="preserve"> Vision Statement</w:t>
      </w:r>
      <w:r w:rsidR="003C44F9">
        <w:rPr>
          <w:rStyle w:val="Emphasis"/>
          <w:bCs w:val="0"/>
          <w:i w:val="0"/>
          <w:iCs w:val="0"/>
          <w:spacing w:val="0"/>
          <w:szCs w:val="20"/>
        </w:rPr>
        <w:t>, Philosophy, Pledge, &amp; Code of Ethics</w:t>
      </w:r>
    </w:p>
    <w:p w14:paraId="552AFF72" w14:textId="77777777" w:rsidR="00035349" w:rsidRPr="00627697" w:rsidRDefault="00035349" w:rsidP="00A92736"/>
    <w:p w14:paraId="6D96970C" w14:textId="77777777" w:rsidR="00035349" w:rsidRPr="00627697" w:rsidRDefault="00035349" w:rsidP="00BB7FE6">
      <w:pPr>
        <w:pStyle w:val="Heading2"/>
      </w:pPr>
      <w:bookmarkStart w:id="1" w:name="_Toc262297394"/>
      <w:r w:rsidRPr="00627697">
        <w:t>Mission</w:t>
      </w:r>
      <w:bookmarkEnd w:id="1"/>
    </w:p>
    <w:p w14:paraId="452D9102" w14:textId="77777777" w:rsidR="00035349" w:rsidRPr="00627697" w:rsidRDefault="000A287D" w:rsidP="003C44F9">
      <w:pPr>
        <w:rPr>
          <w:szCs w:val="20"/>
        </w:rPr>
      </w:pPr>
      <w:r w:rsidRPr="00627697">
        <w:rPr>
          <w:szCs w:val="20"/>
        </w:rPr>
        <w:br/>
      </w:r>
      <w:r w:rsidR="003C44F9">
        <w:rPr>
          <w:szCs w:val="20"/>
        </w:rPr>
        <w:t>[Place mission statement here.]</w:t>
      </w:r>
    </w:p>
    <w:p w14:paraId="0020D811" w14:textId="77777777" w:rsidR="00035349" w:rsidRPr="00627697" w:rsidRDefault="00035349" w:rsidP="00EB1CA6"/>
    <w:p w14:paraId="070DAB98" w14:textId="77777777" w:rsidR="00035349" w:rsidRPr="00627697" w:rsidRDefault="00035349" w:rsidP="00BB7FE6">
      <w:pPr>
        <w:pStyle w:val="Heading2"/>
      </w:pPr>
      <w:bookmarkStart w:id="2" w:name="_Toc262297395"/>
      <w:r w:rsidRPr="00627697">
        <w:t>Vision</w:t>
      </w:r>
      <w:bookmarkEnd w:id="2"/>
      <w:r w:rsidR="000A287D" w:rsidRPr="00627697">
        <w:br/>
      </w:r>
    </w:p>
    <w:p w14:paraId="327C882A" w14:textId="77777777" w:rsidR="00035349" w:rsidRDefault="003C44F9" w:rsidP="00035349">
      <w:pPr>
        <w:rPr>
          <w:szCs w:val="20"/>
        </w:rPr>
      </w:pPr>
      <w:r>
        <w:rPr>
          <w:szCs w:val="20"/>
        </w:rPr>
        <w:t>[Place vision statement here if applicable.]</w:t>
      </w:r>
    </w:p>
    <w:p w14:paraId="6E807FF9" w14:textId="77777777" w:rsidR="00EE47D4" w:rsidRPr="00627697" w:rsidRDefault="00EE47D4" w:rsidP="00EB1CA6"/>
    <w:p w14:paraId="52BA6469" w14:textId="77777777" w:rsidR="00EE47D4" w:rsidRPr="00627697" w:rsidRDefault="00EE47D4" w:rsidP="00BB7FE6">
      <w:pPr>
        <w:pStyle w:val="Heading2"/>
      </w:pPr>
      <w:bookmarkStart w:id="3" w:name="_Toc262297396"/>
      <w:r w:rsidRPr="00627697">
        <w:t>Philosophy</w:t>
      </w:r>
      <w:bookmarkEnd w:id="3"/>
    </w:p>
    <w:p w14:paraId="53AAF66C" w14:textId="77777777" w:rsidR="00EE47D4" w:rsidRPr="00627697" w:rsidRDefault="00EE47D4" w:rsidP="00EE47D4">
      <w:pPr>
        <w:spacing w:after="0"/>
        <w:rPr>
          <w:szCs w:val="20"/>
        </w:rPr>
      </w:pPr>
    </w:p>
    <w:p w14:paraId="60BC64C0" w14:textId="77777777" w:rsidR="00EE47D4" w:rsidRPr="00627697" w:rsidRDefault="003C44F9" w:rsidP="00EE47D4">
      <w:pPr>
        <w:rPr>
          <w:szCs w:val="20"/>
        </w:rPr>
      </w:pPr>
      <w:r>
        <w:rPr>
          <w:szCs w:val="20"/>
        </w:rPr>
        <w:t>[Place philosophy statement here.]</w:t>
      </w:r>
    </w:p>
    <w:p w14:paraId="3671F996" w14:textId="77777777" w:rsidR="003C44F9" w:rsidRDefault="003C44F9" w:rsidP="00A92736"/>
    <w:p w14:paraId="4D80AF2E" w14:textId="77777777" w:rsidR="00035349" w:rsidRPr="00627697" w:rsidRDefault="00035349" w:rsidP="00BB7FE6">
      <w:pPr>
        <w:pStyle w:val="Heading2"/>
      </w:pPr>
      <w:bookmarkStart w:id="4" w:name="_Toc262297397"/>
      <w:r w:rsidRPr="00627697">
        <w:t>Pledge</w:t>
      </w:r>
      <w:bookmarkEnd w:id="4"/>
    </w:p>
    <w:p w14:paraId="5CCD60AF" w14:textId="77777777" w:rsidR="00035349" w:rsidRPr="00627697" w:rsidRDefault="00035349" w:rsidP="00035349">
      <w:pPr>
        <w:spacing w:after="0"/>
        <w:rPr>
          <w:szCs w:val="20"/>
        </w:rPr>
      </w:pPr>
    </w:p>
    <w:p w14:paraId="4E0305C5" w14:textId="77777777" w:rsidR="003C44F9" w:rsidRPr="003C44F9" w:rsidRDefault="003C44F9" w:rsidP="005A51D5">
      <w:r>
        <w:t>[Place pledge here if applicable.]</w:t>
      </w:r>
    </w:p>
    <w:p w14:paraId="65013B7E" w14:textId="77777777" w:rsidR="003C44F9" w:rsidRDefault="003C44F9" w:rsidP="00EB1CA6"/>
    <w:p w14:paraId="7B54444F" w14:textId="77777777" w:rsidR="00035349" w:rsidRDefault="00035349" w:rsidP="00BB7FE6">
      <w:pPr>
        <w:pStyle w:val="Heading2"/>
      </w:pPr>
      <w:bookmarkStart w:id="5" w:name="_Toc262297398"/>
      <w:r w:rsidRPr="00627697">
        <w:t>Code of Ethics</w:t>
      </w:r>
      <w:bookmarkEnd w:id="5"/>
    </w:p>
    <w:p w14:paraId="6ACD8E59" w14:textId="77777777" w:rsidR="003C44F9" w:rsidRDefault="003C44F9" w:rsidP="003C44F9">
      <w:pPr>
        <w:rPr>
          <w:lang w:bidi="ar-SA"/>
        </w:rPr>
      </w:pPr>
    </w:p>
    <w:p w14:paraId="6ADACBB7" w14:textId="77777777" w:rsidR="003C44F9" w:rsidRPr="003C44F9" w:rsidRDefault="003C44F9" w:rsidP="005A51D5">
      <w:r>
        <w:t>[Place code of ethics here if applicable.]</w:t>
      </w:r>
    </w:p>
    <w:p w14:paraId="66C60E29" w14:textId="77777777" w:rsidR="003C44F9" w:rsidRPr="003C44F9" w:rsidRDefault="003C44F9" w:rsidP="003C44F9">
      <w:pPr>
        <w:rPr>
          <w:lang w:bidi="ar-SA"/>
        </w:rPr>
      </w:pPr>
    </w:p>
    <w:p w14:paraId="571A1D46" w14:textId="77777777" w:rsidR="00627697" w:rsidRDefault="00627697" w:rsidP="00035349">
      <w:pPr>
        <w:shd w:val="clear" w:color="auto" w:fill="FFFFFF"/>
        <w:spacing w:after="0" w:line="213" w:lineRule="atLeast"/>
        <w:rPr>
          <w:i/>
          <w:iCs/>
          <w:color w:val="000000"/>
          <w:szCs w:val="20"/>
          <w:lang w:bidi="ar-SA"/>
        </w:rPr>
      </w:pPr>
    </w:p>
    <w:p w14:paraId="1FE1F33A" w14:textId="77777777" w:rsidR="00035349" w:rsidRPr="00627697" w:rsidRDefault="00035349" w:rsidP="003C44F9">
      <w:pPr>
        <w:shd w:val="clear" w:color="auto" w:fill="FFFFFF"/>
        <w:spacing w:after="0" w:line="213" w:lineRule="atLeast"/>
        <w:ind w:left="720"/>
        <w:rPr>
          <w:szCs w:val="20"/>
        </w:rPr>
      </w:pPr>
      <w:r w:rsidRPr="00627697">
        <w:rPr>
          <w:szCs w:val="20"/>
        </w:rPr>
        <w:lastRenderedPageBreak/>
        <w:br w:type="page"/>
      </w:r>
    </w:p>
    <w:p w14:paraId="3A3CC805" w14:textId="77777777" w:rsidR="00627697" w:rsidRDefault="00627697" w:rsidP="00C724B0">
      <w:pPr>
        <w:pStyle w:val="Heading1"/>
        <w:sectPr w:rsidR="00627697" w:rsidSect="00DD2A38">
          <w:footerReference w:type="default" r:id="rId9"/>
          <w:footerReference w:type="first" r:id="rId10"/>
          <w:pgSz w:w="15840" w:h="12240" w:orient="landscape"/>
          <w:pgMar w:top="1440" w:right="1440" w:bottom="1440" w:left="1440" w:header="720" w:footer="720" w:gutter="0"/>
          <w:cols w:space="720"/>
          <w:titlePg/>
          <w:docGrid w:linePitch="360"/>
        </w:sectPr>
      </w:pPr>
    </w:p>
    <w:p w14:paraId="48D23A63" w14:textId="77777777" w:rsidR="00035349" w:rsidRPr="00627697" w:rsidRDefault="003C44F9" w:rsidP="005E4C94">
      <w:pPr>
        <w:pStyle w:val="Heading2"/>
      </w:pPr>
      <w:bookmarkStart w:id="6" w:name="_Toc262297399"/>
      <w:r>
        <w:lastRenderedPageBreak/>
        <w:t>[Type of Credential Program]</w:t>
      </w:r>
      <w:bookmarkEnd w:id="6"/>
    </w:p>
    <w:p w14:paraId="4416C83F" w14:textId="77777777" w:rsidR="00035349" w:rsidRPr="00627697" w:rsidRDefault="00035349" w:rsidP="00035349">
      <w:pPr>
        <w:spacing w:after="0"/>
        <w:rPr>
          <w:szCs w:val="20"/>
        </w:rPr>
      </w:pPr>
    </w:p>
    <w:p w14:paraId="390D0263" w14:textId="77777777" w:rsidR="00035349" w:rsidRPr="00627697" w:rsidRDefault="00035349" w:rsidP="005E4C94">
      <w:pPr>
        <w:pStyle w:val="Heading3"/>
      </w:pPr>
      <w:bookmarkStart w:id="7" w:name="_Toc262297400"/>
      <w:r w:rsidRPr="00627697">
        <w:t>Introduction</w:t>
      </w:r>
      <w:bookmarkEnd w:id="7"/>
    </w:p>
    <w:p w14:paraId="43216037" w14:textId="77777777" w:rsidR="00035349" w:rsidRPr="00627697" w:rsidRDefault="00035349" w:rsidP="00035349">
      <w:pPr>
        <w:spacing w:after="0"/>
        <w:rPr>
          <w:szCs w:val="20"/>
          <w:lang w:bidi="ar-SA"/>
        </w:rPr>
      </w:pPr>
    </w:p>
    <w:p w14:paraId="7274E60F" w14:textId="77777777" w:rsidR="00035349" w:rsidRPr="00627697" w:rsidRDefault="003C44F9" w:rsidP="00035349">
      <w:pPr>
        <w:spacing w:after="0"/>
        <w:rPr>
          <w:szCs w:val="20"/>
          <w:lang w:bidi="ar-SA"/>
        </w:rPr>
      </w:pPr>
      <w:r>
        <w:rPr>
          <w:szCs w:val="20"/>
          <w:lang w:bidi="ar-SA"/>
        </w:rPr>
        <w:t>[One-paragraph introduction}</w:t>
      </w:r>
    </w:p>
    <w:p w14:paraId="09AAC39D" w14:textId="77777777" w:rsidR="00950D9B" w:rsidRPr="00627697" w:rsidRDefault="00950D9B" w:rsidP="00035349">
      <w:pPr>
        <w:spacing w:after="0"/>
        <w:rPr>
          <w:szCs w:val="20"/>
          <w:lang w:bidi="ar-SA"/>
        </w:rPr>
      </w:pPr>
    </w:p>
    <w:p w14:paraId="771F22BE" w14:textId="77777777" w:rsidR="00035349" w:rsidRPr="00627697" w:rsidRDefault="00035349" w:rsidP="005E4C94">
      <w:pPr>
        <w:pStyle w:val="Heading3"/>
      </w:pPr>
      <w:bookmarkStart w:id="8" w:name="_Toc262297401"/>
      <w:r w:rsidRPr="00627697">
        <w:t>Course Sequencing</w:t>
      </w:r>
      <w:bookmarkEnd w:id="8"/>
    </w:p>
    <w:p w14:paraId="0084C285" w14:textId="77777777" w:rsidR="00035349" w:rsidRPr="00627697" w:rsidRDefault="003C44F9" w:rsidP="00035349">
      <w:pPr>
        <w:spacing w:after="0"/>
        <w:rPr>
          <w:szCs w:val="20"/>
          <w:lang w:bidi="ar-SA"/>
        </w:rPr>
      </w:pPr>
      <w:r>
        <w:rPr>
          <w:szCs w:val="20"/>
          <w:lang w:bidi="ar-SA"/>
        </w:rPr>
        <w:t>[Describe course sequencing]</w:t>
      </w:r>
      <w:r w:rsidR="00035349" w:rsidRPr="00627697">
        <w:rPr>
          <w:szCs w:val="20"/>
          <w:lang w:bidi="ar-SA"/>
        </w:rPr>
        <w:br w:type="page"/>
      </w:r>
    </w:p>
    <w:p w14:paraId="00272696" w14:textId="77777777" w:rsidR="00035349" w:rsidRPr="00627697" w:rsidRDefault="00035349" w:rsidP="00353674">
      <w:pPr>
        <w:pStyle w:val="Heading3"/>
      </w:pPr>
      <w:bookmarkStart w:id="9" w:name="_Toc262297402"/>
      <w:r w:rsidRPr="00627697">
        <w:lastRenderedPageBreak/>
        <w:t>Program Outline</w:t>
      </w:r>
      <w:bookmarkEnd w:id="9"/>
    </w:p>
    <w:p w14:paraId="78FFF9CB" w14:textId="444C83E5" w:rsidR="00035349" w:rsidRPr="00627697" w:rsidRDefault="003C44F9" w:rsidP="003C44F9">
      <w:pPr>
        <w:rPr>
          <w:szCs w:val="20"/>
          <w:lang w:bidi="ar-SA"/>
        </w:rPr>
      </w:pPr>
      <w:r>
        <w:rPr>
          <w:szCs w:val="20"/>
          <w:lang w:bidi="ar-SA"/>
        </w:rPr>
        <w:t>[Describe program outline.]</w:t>
      </w:r>
    </w:p>
    <w:p w14:paraId="0DFAE6CF" w14:textId="77777777" w:rsidR="00353674" w:rsidRDefault="00035349" w:rsidP="00627697">
      <w:pPr>
        <w:rPr>
          <w:szCs w:val="20"/>
          <w:lang w:bidi="ar-SA"/>
        </w:rPr>
      </w:pPr>
      <w:r w:rsidRPr="00627697">
        <w:rPr>
          <w:szCs w:val="20"/>
          <w:lang w:bidi="ar-SA"/>
        </w:rPr>
        <w:t>Thank you,</w:t>
      </w:r>
    </w:p>
    <w:p w14:paraId="0F1EDA05" w14:textId="5323582F" w:rsidR="00627697" w:rsidRPr="00627697" w:rsidRDefault="003C44F9" w:rsidP="00627697">
      <w:pPr>
        <w:rPr>
          <w:b/>
          <w:bCs/>
          <w:szCs w:val="20"/>
          <w:lang w:bidi="ar-SA"/>
        </w:rPr>
        <w:sectPr w:rsidR="00627697" w:rsidRPr="00627697" w:rsidSect="00627697">
          <w:type w:val="continuous"/>
          <w:pgSz w:w="15840" w:h="12240" w:orient="landscape"/>
          <w:pgMar w:top="1440" w:right="1440" w:bottom="1440" w:left="1440" w:header="720" w:footer="720" w:gutter="0"/>
          <w:cols w:space="720"/>
          <w:titlePg/>
          <w:docGrid w:linePitch="360"/>
        </w:sectPr>
      </w:pPr>
      <w:r>
        <w:rPr>
          <w:szCs w:val="20"/>
          <w:lang w:bidi="ar-SA"/>
        </w:rPr>
        <w:t>[</w:t>
      </w:r>
      <w:proofErr w:type="spellStart"/>
      <w:r>
        <w:rPr>
          <w:szCs w:val="20"/>
          <w:lang w:bidi="ar-SA"/>
        </w:rPr>
        <w:t>Inistution</w:t>
      </w:r>
      <w:proofErr w:type="spellEnd"/>
      <w:r>
        <w:rPr>
          <w:szCs w:val="20"/>
          <w:lang w:bidi="ar-SA"/>
        </w:rPr>
        <w:t>]</w:t>
      </w:r>
      <w:r w:rsidR="00035349" w:rsidRPr="00627697">
        <w:rPr>
          <w:szCs w:val="20"/>
          <w:lang w:bidi="ar-SA"/>
        </w:rPr>
        <w:t xml:space="preserve"> Faculty</w:t>
      </w:r>
    </w:p>
    <w:p w14:paraId="2D9EA3CC" w14:textId="77777777" w:rsidR="00D232E6" w:rsidRDefault="00D232E6">
      <w:pPr>
        <w:rPr>
          <w:b/>
          <w:szCs w:val="20"/>
          <w:lang w:bidi="ar-SA"/>
        </w:rPr>
      </w:pPr>
      <w:r>
        <w:br w:type="page"/>
      </w:r>
    </w:p>
    <w:p w14:paraId="39FE8281" w14:textId="79ECAB38" w:rsidR="00AA09B0" w:rsidRDefault="00AA09B0" w:rsidP="00266623">
      <w:pPr>
        <w:pStyle w:val="Heading3"/>
        <w:spacing w:line="480" w:lineRule="auto"/>
      </w:pPr>
      <w:bookmarkStart w:id="10" w:name="_Toc262297403"/>
      <w:r w:rsidRPr="00627697">
        <w:lastRenderedPageBreak/>
        <w:t>Preconditions for All Professional Preparation Programs</w:t>
      </w:r>
      <w:bookmarkEnd w:id="10"/>
    </w:p>
    <w:p w14:paraId="07716A60" w14:textId="266819E1" w:rsidR="00266623" w:rsidRPr="00266623" w:rsidRDefault="00266623" w:rsidP="00266623">
      <w:pPr>
        <w:pBdr>
          <w:top w:val="single" w:sz="4" w:space="1" w:color="auto"/>
          <w:left w:val="single" w:sz="4" w:space="4" w:color="auto"/>
          <w:bottom w:val="single" w:sz="4" w:space="1" w:color="auto"/>
          <w:right w:val="single" w:sz="4" w:space="4" w:color="auto"/>
        </w:pBdr>
      </w:pPr>
      <w:r w:rsidRPr="00FA5ACA">
        <w:rPr>
          <w:bCs/>
          <w:i/>
          <w:iCs/>
        </w:rPr>
        <w:t>The following Preconditions apply to all professional preparation programs. All institutions applying for initial institutional approval or continuing accreditation of their educator preparation programs must respond to the following 10 Preconditions</w:t>
      </w:r>
    </w:p>
    <w:p w14:paraId="569AD54F" w14:textId="77777777" w:rsidR="00AA09B0" w:rsidRPr="00627697" w:rsidRDefault="00AA09B0" w:rsidP="00B2223A">
      <w:pPr>
        <w:pStyle w:val="Heading3"/>
      </w:pPr>
      <w:bookmarkStart w:id="11" w:name="_Toc262297404"/>
      <w:r w:rsidRPr="00627697">
        <w:t>General Preconditions Established by the Commission</w:t>
      </w:r>
      <w:bookmarkEnd w:id="11"/>
    </w:p>
    <w:p w14:paraId="0CF6197C" w14:textId="77777777" w:rsidR="00AA09B0" w:rsidRPr="00627697" w:rsidRDefault="00AA09B0" w:rsidP="00AA09B0">
      <w:pPr>
        <w:autoSpaceDE w:val="0"/>
        <w:autoSpaceDN w:val="0"/>
        <w:adjustRightInd w:val="0"/>
        <w:spacing w:after="0" w:line="240" w:lineRule="auto"/>
        <w:rPr>
          <w:szCs w:val="20"/>
          <w:lang w:bidi="ar-SA"/>
        </w:rPr>
      </w:pPr>
      <w:r w:rsidRPr="00627697">
        <w:rPr>
          <w:szCs w:val="20"/>
          <w:lang w:bidi="ar-SA"/>
        </w:rPr>
        <w:t>Pursuant to Education Code Section 44227(a), each program of professional preparation shall adhere to the following requirements of the Commission.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9"/>
        <w:gridCol w:w="5931"/>
      </w:tblGrid>
      <w:tr w:rsidR="00AA09B0" w:rsidRPr="00FA5ACA" w14:paraId="022F3DD9" w14:textId="77777777" w:rsidTr="005E4C94">
        <w:trPr>
          <w:cantSplit/>
        </w:trPr>
        <w:tc>
          <w:tcPr>
            <w:tcW w:w="7128" w:type="dxa"/>
          </w:tcPr>
          <w:p w14:paraId="583C5F18" w14:textId="77777777" w:rsidR="00AA09B0" w:rsidRPr="00FA5ACA" w:rsidRDefault="00AA09B0" w:rsidP="002C2385">
            <w:pPr>
              <w:autoSpaceDE w:val="0"/>
              <w:autoSpaceDN w:val="0"/>
              <w:adjustRightInd w:val="0"/>
            </w:pPr>
            <w:bookmarkStart w:id="12" w:name="_Toc262297405"/>
            <w:r w:rsidRPr="00FA5ACA">
              <w:rPr>
                <w:rStyle w:val="Heading3Char"/>
              </w:rPr>
              <w:t>(1) Accreditation and Academic Credit</w:t>
            </w:r>
            <w:r w:rsidRPr="00FA5ACA">
              <w:rPr>
                <w:rStyle w:val="Heading3Char"/>
                <w:b w:val="0"/>
              </w:rPr>
              <w:t>.</w:t>
            </w:r>
            <w:bookmarkEnd w:id="12"/>
            <w:r w:rsidRPr="00FA5ACA">
              <w:rPr>
                <w:bCs/>
              </w:rPr>
              <w:t xml:space="preserve"> </w:t>
            </w:r>
            <w:r w:rsidRPr="00FA5ACA">
              <w:t>To be granted initial institutional accreditation by the Commission to become eligible to submit programs or to be granted initial program accreditation or continuing accreditation by the Committee on Accreditation, the program(s) must be proposed and operated by an institution that</w:t>
            </w:r>
          </w:p>
          <w:p w14:paraId="1F190CA3" w14:textId="77777777" w:rsidR="00AA09B0" w:rsidRPr="00FA5ACA" w:rsidRDefault="00AA09B0" w:rsidP="002C2385">
            <w:pPr>
              <w:autoSpaceDE w:val="0"/>
              <w:autoSpaceDN w:val="0"/>
              <w:adjustRightInd w:val="0"/>
            </w:pPr>
            <w:r w:rsidRPr="00FA5ACA">
              <w:t>(a) is fully accredited by the Western Association of Schools and Colleges or another of the six regional accrediting associations, and</w:t>
            </w:r>
          </w:p>
          <w:p w14:paraId="1F0698CB" w14:textId="77777777" w:rsidR="00AA09B0" w:rsidRPr="00FA5ACA" w:rsidRDefault="00AA09B0" w:rsidP="002C2385">
            <w:pPr>
              <w:autoSpaceDE w:val="0"/>
              <w:autoSpaceDN w:val="0"/>
              <w:adjustRightInd w:val="0"/>
              <w:rPr>
                <w:bCs/>
              </w:rPr>
            </w:pPr>
            <w:r w:rsidRPr="00FA5ACA">
              <w:t>(b) Grants baccalaureate academic credit or post baccalaureate academic credit, or both. (This provision does not apply to professional preparation programs offered by school districts.)</w:t>
            </w:r>
            <w:r w:rsidR="00617ECA" w:rsidRPr="00FA5ACA">
              <w:t xml:space="preserve"> </w:t>
            </w:r>
            <w:r w:rsidRPr="00FA5ACA">
              <w:t>For school districts wishing to offer a professional preparation program, the Superintendent of the district shall submit verification of the governing board’s approval of sponsorship of the program.</w:t>
            </w:r>
          </w:p>
        </w:tc>
        <w:tc>
          <w:tcPr>
            <w:tcW w:w="6030" w:type="dxa"/>
          </w:tcPr>
          <w:p w14:paraId="5B205379" w14:textId="77777777" w:rsidR="00B37781" w:rsidRPr="00266623" w:rsidRDefault="008A0BB6" w:rsidP="002C2385">
            <w:pPr>
              <w:rPr>
                <w:bCs/>
              </w:rPr>
            </w:pPr>
            <w:r w:rsidRPr="00A92736">
              <w:rPr>
                <w:color w:val="4472C4" w:themeColor="accent1"/>
              </w:rPr>
              <w:t>[</w:t>
            </w:r>
            <w:r w:rsidR="00D232E6" w:rsidRPr="00A92736">
              <w:rPr>
                <w:color w:val="4472C4" w:themeColor="accent1"/>
              </w:rPr>
              <w:t>Describe how you meet each General Precondition in this column.</w:t>
            </w:r>
            <w:r w:rsidRPr="00A92736">
              <w:rPr>
                <w:color w:val="4472C4" w:themeColor="accent1"/>
              </w:rPr>
              <w:t>]</w:t>
            </w:r>
          </w:p>
        </w:tc>
      </w:tr>
      <w:tr w:rsidR="00AA09B0" w:rsidRPr="00FA5ACA" w14:paraId="5776542D" w14:textId="77777777" w:rsidTr="00C724B0">
        <w:tc>
          <w:tcPr>
            <w:tcW w:w="7128" w:type="dxa"/>
          </w:tcPr>
          <w:p w14:paraId="69646F18" w14:textId="77777777" w:rsidR="00AA09B0" w:rsidRPr="00FA5ACA" w:rsidRDefault="00AA09B0" w:rsidP="002C2385">
            <w:pPr>
              <w:autoSpaceDE w:val="0"/>
              <w:autoSpaceDN w:val="0"/>
              <w:adjustRightInd w:val="0"/>
            </w:pPr>
            <w:bookmarkStart w:id="13" w:name="_Toc262297406"/>
            <w:r w:rsidRPr="00FA5ACA">
              <w:rPr>
                <w:rStyle w:val="Heading3Char"/>
              </w:rPr>
              <w:t>(2) Responsibility and Authority</w:t>
            </w:r>
            <w:r w:rsidRPr="00FA5ACA">
              <w:rPr>
                <w:rStyle w:val="Heading3Char"/>
                <w:b w:val="0"/>
              </w:rPr>
              <w:t>.</w:t>
            </w:r>
            <w:bookmarkEnd w:id="13"/>
            <w:r w:rsidRPr="00FA5ACA">
              <w:t xml:space="preserve"> To be granted initial institutional/district accreditation by the Commission or initial program accreditation or continuing accreditation by the Committee on Accreditation, the institution/district shall provide the following information.</w:t>
            </w:r>
          </w:p>
          <w:p w14:paraId="4D06CD94" w14:textId="77777777" w:rsidR="00AA09B0" w:rsidRPr="00FA5ACA" w:rsidRDefault="00AA09B0" w:rsidP="002C2385">
            <w:pPr>
              <w:autoSpaceDE w:val="0"/>
              <w:autoSpaceDN w:val="0"/>
              <w:adjustRightInd w:val="0"/>
            </w:pPr>
            <w:r w:rsidRPr="00FA5ACA">
              <w:t>(a) Identify the position within the organizational structure that is responsible for ongoing oversight of all credential preparation programs offered by the</w:t>
            </w:r>
          </w:p>
          <w:p w14:paraId="190979CA" w14:textId="77777777" w:rsidR="00AA09B0" w:rsidRPr="00FA5ACA" w:rsidRDefault="00AA09B0" w:rsidP="002C2385">
            <w:pPr>
              <w:autoSpaceDE w:val="0"/>
              <w:autoSpaceDN w:val="0"/>
              <w:adjustRightInd w:val="0"/>
            </w:pPr>
            <w:r w:rsidRPr="00FA5ACA">
              <w:lastRenderedPageBreak/>
              <w:t>Institution/district (including credential programs offered by the extension division, if any).</w:t>
            </w:r>
          </w:p>
          <w:p w14:paraId="1B91F7C0" w14:textId="77777777" w:rsidR="00AA09B0" w:rsidRPr="00FA5ACA" w:rsidRDefault="00AA09B0" w:rsidP="002C2385">
            <w:pPr>
              <w:autoSpaceDE w:val="0"/>
              <w:autoSpaceDN w:val="0"/>
              <w:adjustRightInd w:val="0"/>
            </w:pPr>
            <w:r w:rsidRPr="00FA5ACA">
              <w:t>(b) Provide a description of the reporting relationship between the position described in (a) and the individuals who coordinate each credential program offered by the institution/district. If a reporting relationship is indirect, describe the levels of authority and responsibility for each credential program.</w:t>
            </w:r>
          </w:p>
        </w:tc>
        <w:tc>
          <w:tcPr>
            <w:tcW w:w="6030" w:type="dxa"/>
          </w:tcPr>
          <w:p w14:paraId="49DA5186" w14:textId="77777777" w:rsidR="00B37781" w:rsidRPr="00FA5ACA" w:rsidRDefault="00B37781" w:rsidP="002C2385">
            <w:pPr>
              <w:rPr>
                <w:bCs/>
              </w:rPr>
            </w:pPr>
          </w:p>
        </w:tc>
      </w:tr>
      <w:tr w:rsidR="00AA09B0" w:rsidRPr="00FA5ACA" w14:paraId="6A653966" w14:textId="77777777" w:rsidTr="00C724B0">
        <w:tc>
          <w:tcPr>
            <w:tcW w:w="7128" w:type="dxa"/>
          </w:tcPr>
          <w:p w14:paraId="71881BA9" w14:textId="77777777" w:rsidR="00617ECA" w:rsidRPr="00FA5ACA" w:rsidRDefault="00617ECA" w:rsidP="002C2385">
            <w:pPr>
              <w:autoSpaceDE w:val="0"/>
              <w:autoSpaceDN w:val="0"/>
              <w:adjustRightInd w:val="0"/>
            </w:pPr>
            <w:r w:rsidRPr="00FA5ACA">
              <w:br w:type="page"/>
            </w:r>
            <w:bookmarkStart w:id="14" w:name="_Toc262297407"/>
            <w:r w:rsidR="00AA09B0" w:rsidRPr="00FA5ACA">
              <w:rPr>
                <w:rStyle w:val="Heading3Char"/>
                <w:b w:val="0"/>
              </w:rPr>
              <w:t>(3) Personnel Decisions</w:t>
            </w:r>
            <w:bookmarkEnd w:id="14"/>
            <w:r w:rsidR="00AA09B0" w:rsidRPr="00FA5ACA">
              <w:rPr>
                <w:bCs/>
              </w:rPr>
              <w:t xml:space="preserve">. </w:t>
            </w:r>
            <w:r w:rsidR="00AA09B0" w:rsidRPr="00FA5ACA">
              <w:t xml:space="preserve">To be granted initial program accreditation or continuing accreditation by the Committee on Accreditation, a program of professional preparation must be proposed and operated by an institution/district that makes all personnel decisions without considering differences due to gender or other constitutionally or legally prohibited considerations. These decisions include decisions regarding the admission, retention or graduation of students, and decisions regarding the employment, </w:t>
            </w:r>
            <w:proofErr w:type="gramStart"/>
            <w:r w:rsidR="00AA09B0" w:rsidRPr="00FA5ACA">
              <w:t>retention</w:t>
            </w:r>
            <w:proofErr w:type="gramEnd"/>
            <w:r w:rsidR="00AA09B0" w:rsidRPr="00FA5ACA">
              <w:t xml:space="preserve"> or promotion of employees.</w:t>
            </w:r>
          </w:p>
        </w:tc>
        <w:tc>
          <w:tcPr>
            <w:tcW w:w="6030" w:type="dxa"/>
          </w:tcPr>
          <w:p w14:paraId="0D9A1005" w14:textId="77777777" w:rsidR="00B37781" w:rsidRPr="00FA5ACA" w:rsidRDefault="00B37781" w:rsidP="002C2385">
            <w:pPr>
              <w:rPr>
                <w:bCs/>
              </w:rPr>
            </w:pPr>
          </w:p>
        </w:tc>
      </w:tr>
      <w:tr w:rsidR="00AA09B0" w:rsidRPr="00FA5ACA" w14:paraId="4E31C94D" w14:textId="77777777" w:rsidTr="00C724B0">
        <w:tc>
          <w:tcPr>
            <w:tcW w:w="7128" w:type="dxa"/>
          </w:tcPr>
          <w:p w14:paraId="4857F6FD" w14:textId="77777777" w:rsidR="00AA09B0" w:rsidRPr="00FA5ACA" w:rsidRDefault="00AA09B0" w:rsidP="002C2385">
            <w:pPr>
              <w:autoSpaceDE w:val="0"/>
              <w:autoSpaceDN w:val="0"/>
              <w:adjustRightInd w:val="0"/>
            </w:pPr>
            <w:bookmarkStart w:id="15" w:name="_Toc262297408"/>
            <w:r w:rsidRPr="00FA5ACA">
              <w:rPr>
                <w:rStyle w:val="Heading3Char"/>
              </w:rPr>
              <w:t>(4) Demonstration of Need</w:t>
            </w:r>
            <w:bookmarkEnd w:id="15"/>
            <w:r w:rsidRPr="00FA5ACA">
              <w:rPr>
                <w:bCs/>
              </w:rPr>
              <w:t xml:space="preserve">. </w:t>
            </w:r>
            <w:r w:rsidRPr="00FA5ACA">
              <w:t>To be granted initial program accreditation by the Committee on</w:t>
            </w:r>
            <w:r w:rsidR="00617ECA" w:rsidRPr="00FA5ACA">
              <w:t xml:space="preserve"> </w:t>
            </w:r>
            <w:r w:rsidRPr="00FA5ACA">
              <w:t>Accreditation, the program proposal must include a demonstration of the need for the program in the region in which it will be operated. Such a demonstration must include, but need not be limited to, assurance by a sample of school administrators that one or more school districts will, during the foreseeable future, hire or assign additional personnel to serve in the credential category.</w:t>
            </w:r>
          </w:p>
        </w:tc>
        <w:tc>
          <w:tcPr>
            <w:tcW w:w="6030" w:type="dxa"/>
          </w:tcPr>
          <w:p w14:paraId="71AB2831" w14:textId="77777777" w:rsidR="000A287D" w:rsidRPr="00FA5ACA" w:rsidRDefault="000A287D" w:rsidP="002C2385">
            <w:pPr>
              <w:rPr>
                <w:bCs/>
              </w:rPr>
            </w:pPr>
          </w:p>
        </w:tc>
      </w:tr>
      <w:tr w:rsidR="00AA09B0" w:rsidRPr="00FA5ACA" w14:paraId="19A7762F" w14:textId="77777777" w:rsidTr="00C724B0">
        <w:tc>
          <w:tcPr>
            <w:tcW w:w="7128" w:type="dxa"/>
          </w:tcPr>
          <w:p w14:paraId="67045F38" w14:textId="77777777" w:rsidR="00AA09B0" w:rsidRPr="00FA5ACA" w:rsidRDefault="00AA09B0" w:rsidP="002C2385">
            <w:pPr>
              <w:autoSpaceDE w:val="0"/>
              <w:autoSpaceDN w:val="0"/>
              <w:adjustRightInd w:val="0"/>
              <w:rPr>
                <w:bCs/>
              </w:rPr>
            </w:pPr>
            <w:bookmarkStart w:id="16" w:name="_Toc262297409"/>
            <w:r w:rsidRPr="00FA5ACA">
              <w:rPr>
                <w:rStyle w:val="Heading3Char"/>
              </w:rPr>
              <w:t>(5) Practitioners’ Participation in Program Design</w:t>
            </w:r>
            <w:bookmarkEnd w:id="16"/>
            <w:r w:rsidRPr="00FA5ACA">
              <w:rPr>
                <w:bCs/>
              </w:rPr>
              <w:t xml:space="preserve">. </w:t>
            </w:r>
            <w:r w:rsidRPr="00FA5ACA">
              <w:t>To be granted initial program accreditation by the Committee on Accreditation, the program proposal must include verification that practitioners in the credential category have participated actively in the design and development of the program's philosophical orientation, educational goals, and content emphases.</w:t>
            </w:r>
          </w:p>
        </w:tc>
        <w:tc>
          <w:tcPr>
            <w:tcW w:w="6030" w:type="dxa"/>
          </w:tcPr>
          <w:p w14:paraId="2DC5D5CA" w14:textId="77777777" w:rsidR="000A287D" w:rsidRPr="00FA5ACA" w:rsidRDefault="000A287D" w:rsidP="002C2385"/>
        </w:tc>
      </w:tr>
      <w:tr w:rsidR="00AA09B0" w:rsidRPr="00FA5ACA" w14:paraId="621D491D" w14:textId="77777777" w:rsidTr="00C724B0">
        <w:tc>
          <w:tcPr>
            <w:tcW w:w="7128" w:type="dxa"/>
          </w:tcPr>
          <w:p w14:paraId="486DADB5" w14:textId="77777777" w:rsidR="00D83967" w:rsidRPr="00FA5ACA" w:rsidRDefault="00AA09B0" w:rsidP="002C2385">
            <w:pPr>
              <w:autoSpaceDE w:val="0"/>
              <w:autoSpaceDN w:val="0"/>
              <w:adjustRightInd w:val="0"/>
            </w:pPr>
            <w:bookmarkStart w:id="17" w:name="_Toc262297410"/>
            <w:r w:rsidRPr="00FA5ACA">
              <w:rPr>
                <w:rStyle w:val="Heading3Char"/>
              </w:rPr>
              <w:lastRenderedPageBreak/>
              <w:t>(6) Commission Assurances</w:t>
            </w:r>
            <w:bookmarkEnd w:id="17"/>
            <w:r w:rsidRPr="00FA5ACA">
              <w:rPr>
                <w:bCs/>
              </w:rPr>
              <w:t xml:space="preserve">. </w:t>
            </w:r>
            <w:r w:rsidRPr="00FA5ACA">
              <w:t>To be granted initial program accreditation by the Committee on Accreditation, the program proposal must</w:t>
            </w:r>
          </w:p>
          <w:p w14:paraId="32ADE148" w14:textId="77777777" w:rsidR="00D83967" w:rsidRPr="00FA5ACA" w:rsidRDefault="00AA09B0" w:rsidP="002C2385">
            <w:pPr>
              <w:autoSpaceDE w:val="0"/>
              <w:autoSpaceDN w:val="0"/>
              <w:adjustRightInd w:val="0"/>
            </w:pPr>
            <w:r w:rsidRPr="00FA5ACA">
              <w:t xml:space="preserve">(a) demonstrate that the program will fulfill all of the applicable standards of program quality and effectiveness that have been adopted by the </w:t>
            </w:r>
            <w:proofErr w:type="gramStart"/>
            <w:r w:rsidRPr="00FA5ACA">
              <w:t>Commission;</w:t>
            </w:r>
            <w:proofErr w:type="gramEnd"/>
          </w:p>
          <w:p w14:paraId="53A8498B" w14:textId="77777777" w:rsidR="00D83967" w:rsidRPr="00FA5ACA" w:rsidRDefault="00AA09B0" w:rsidP="002C2385">
            <w:pPr>
              <w:autoSpaceDE w:val="0"/>
              <w:autoSpaceDN w:val="0"/>
              <w:adjustRightInd w:val="0"/>
            </w:pPr>
            <w:r w:rsidRPr="00FA5ACA">
              <w:t>(b) assure that the institution/district will cooperate in an evaluation of the program by an external team or a monitoring of the program by a Commission staff</w:t>
            </w:r>
            <w:r w:rsidR="002C2385" w:rsidRPr="00FA5ACA">
              <w:t xml:space="preserve"> </w:t>
            </w:r>
            <w:r w:rsidRPr="00FA5ACA">
              <w:t>member within four years of the initial enrollment of candidates in the program; and</w:t>
            </w:r>
          </w:p>
          <w:p w14:paraId="7A1A30C9" w14:textId="77777777" w:rsidR="00AA09B0" w:rsidRPr="00FA5ACA" w:rsidRDefault="00AA09B0" w:rsidP="002C2385">
            <w:pPr>
              <w:autoSpaceDE w:val="0"/>
              <w:autoSpaceDN w:val="0"/>
              <w:adjustRightInd w:val="0"/>
            </w:pPr>
            <w:r w:rsidRPr="00FA5ACA">
              <w:t>(c) Assure that the institution/district will participate in focused reviews of one or more aspects of the program when designated by the Commission.</w:t>
            </w:r>
          </w:p>
        </w:tc>
        <w:tc>
          <w:tcPr>
            <w:tcW w:w="6030" w:type="dxa"/>
          </w:tcPr>
          <w:p w14:paraId="59CE804F" w14:textId="77777777" w:rsidR="00AA09B0" w:rsidRPr="00FA5ACA" w:rsidRDefault="00AA09B0" w:rsidP="00627697">
            <w:pPr>
              <w:rPr>
                <w:bCs/>
              </w:rPr>
            </w:pPr>
          </w:p>
        </w:tc>
      </w:tr>
      <w:tr w:rsidR="00AA09B0" w:rsidRPr="00FA5ACA" w14:paraId="422FC0CE" w14:textId="77777777" w:rsidTr="00C724B0">
        <w:tc>
          <w:tcPr>
            <w:tcW w:w="7128" w:type="dxa"/>
          </w:tcPr>
          <w:p w14:paraId="188AC563" w14:textId="77777777" w:rsidR="00AA09B0" w:rsidRPr="00FA5ACA" w:rsidRDefault="00AA09B0" w:rsidP="002C2385">
            <w:pPr>
              <w:autoSpaceDE w:val="0"/>
              <w:autoSpaceDN w:val="0"/>
              <w:adjustRightInd w:val="0"/>
              <w:rPr>
                <w:bCs/>
              </w:rPr>
            </w:pPr>
            <w:bookmarkStart w:id="18" w:name="_Toc262297411"/>
            <w:r w:rsidRPr="00FA5ACA">
              <w:rPr>
                <w:rStyle w:val="Heading3Char"/>
              </w:rPr>
              <w:t>(7) Requests for Data</w:t>
            </w:r>
            <w:bookmarkEnd w:id="18"/>
            <w:r w:rsidRPr="00FA5ACA">
              <w:rPr>
                <w:bCs/>
              </w:rPr>
              <w:t xml:space="preserve">. </w:t>
            </w:r>
            <w:r w:rsidRPr="00FA5ACA">
              <w:t>To be granted initial or continuing accreditation by the Committee on</w:t>
            </w:r>
            <w:r w:rsidR="00617ECA" w:rsidRPr="00FA5ACA">
              <w:t xml:space="preserve"> </w:t>
            </w:r>
            <w:r w:rsidRPr="00FA5ACA">
              <w:t>Accreditation, the institution/district must identify a qualified officer responsible for reporting and respond to all requests from the Commission for data including, but not limited to, program enrollments, program completers, examination results, and state and</w:t>
            </w:r>
            <w:r w:rsidR="00617ECA" w:rsidRPr="00FA5ACA">
              <w:t xml:space="preserve"> </w:t>
            </w:r>
            <w:r w:rsidRPr="00FA5ACA">
              <w:t>Federal reporting within the time limits specified by the Commission.</w:t>
            </w:r>
          </w:p>
        </w:tc>
        <w:tc>
          <w:tcPr>
            <w:tcW w:w="6030" w:type="dxa"/>
          </w:tcPr>
          <w:p w14:paraId="1EC3375E" w14:textId="77777777" w:rsidR="00AA09B0" w:rsidRPr="00FA5ACA" w:rsidRDefault="00AA09B0" w:rsidP="002C2385">
            <w:pPr>
              <w:rPr>
                <w:bCs/>
              </w:rPr>
            </w:pPr>
          </w:p>
        </w:tc>
      </w:tr>
    </w:tbl>
    <w:p w14:paraId="3D046665" w14:textId="77777777" w:rsidR="00AA09B0" w:rsidRPr="00627697" w:rsidRDefault="00AA09B0" w:rsidP="002C2385">
      <w:pPr>
        <w:autoSpaceDE w:val="0"/>
        <w:autoSpaceDN w:val="0"/>
        <w:adjustRightInd w:val="0"/>
        <w:spacing w:after="0" w:line="240" w:lineRule="auto"/>
        <w:rPr>
          <w:bCs/>
          <w:szCs w:val="20"/>
          <w:lang w:bidi="ar-SA"/>
        </w:rPr>
      </w:pPr>
      <w:r w:rsidRPr="00627697">
        <w:rPr>
          <w:szCs w:val="20"/>
          <w:lang w:bidi="ar-SA"/>
        </w:rPr>
        <w:br w:type="page"/>
      </w:r>
    </w:p>
    <w:p w14:paraId="6CD8F613" w14:textId="77777777" w:rsidR="00AA09B0" w:rsidRPr="00627697" w:rsidRDefault="00AA09B0" w:rsidP="00B2223A">
      <w:pPr>
        <w:pStyle w:val="Heading3"/>
      </w:pPr>
      <w:bookmarkStart w:id="19" w:name="_Toc262297412"/>
      <w:r w:rsidRPr="00627697">
        <w:lastRenderedPageBreak/>
        <w:t>General Preconditions Established by State Law</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4"/>
        <w:gridCol w:w="5846"/>
      </w:tblGrid>
      <w:tr w:rsidR="008A0BB6" w:rsidRPr="00FA5ACA" w14:paraId="04B58BA9" w14:textId="77777777" w:rsidTr="00B2223A">
        <w:tc>
          <w:tcPr>
            <w:tcW w:w="7104" w:type="dxa"/>
          </w:tcPr>
          <w:p w14:paraId="73654D93" w14:textId="77777777" w:rsidR="008A0BB6" w:rsidRPr="00FA5ACA" w:rsidRDefault="008A0BB6" w:rsidP="002C2385">
            <w:pPr>
              <w:autoSpaceDE w:val="0"/>
              <w:autoSpaceDN w:val="0"/>
              <w:adjustRightInd w:val="0"/>
            </w:pPr>
            <w:bookmarkStart w:id="20" w:name="_Toc262297413"/>
            <w:r w:rsidRPr="00FA5ACA">
              <w:rPr>
                <w:rStyle w:val="Heading3Char"/>
              </w:rPr>
              <w:t>(8) Faculty Participation</w:t>
            </w:r>
            <w:bookmarkEnd w:id="20"/>
            <w:r w:rsidRPr="00FA5ACA">
              <w:rPr>
                <w:bCs/>
              </w:rPr>
              <w:t xml:space="preserve">. </w:t>
            </w:r>
            <w:r w:rsidRPr="00FA5ACA">
              <w:t>Each postsecondary faculty member who regularly teaches one or more courses relating to instructional methods in a college or university program of professional preparation for teaching credentials, including Specialist Credentials, or one or more courses in administrative methods in an Administrative Services Credential program, shall actively participate in public elementary or secondary schools and classrooms at least once every three academic years.</w:t>
            </w:r>
          </w:p>
          <w:p w14:paraId="105E08C6" w14:textId="77777777" w:rsidR="008A0BB6" w:rsidRPr="00FA5ACA" w:rsidRDefault="008A0BB6" w:rsidP="002C2385">
            <w:pPr>
              <w:autoSpaceDE w:val="0"/>
              <w:autoSpaceDN w:val="0"/>
              <w:adjustRightInd w:val="0"/>
              <w:rPr>
                <w:i/>
                <w:iCs/>
              </w:rPr>
            </w:pPr>
            <w:r w:rsidRPr="00FA5ACA">
              <w:rPr>
                <w:i/>
                <w:iCs/>
              </w:rPr>
              <w:t>Reference: Education Code Section 44227.5 (a) and (b)</w:t>
            </w:r>
          </w:p>
        </w:tc>
        <w:tc>
          <w:tcPr>
            <w:tcW w:w="5846" w:type="dxa"/>
          </w:tcPr>
          <w:p w14:paraId="02835DE3" w14:textId="77777777" w:rsidR="008A0BB6" w:rsidRPr="00266623" w:rsidRDefault="008A0BB6" w:rsidP="00265D72">
            <w:pPr>
              <w:rPr>
                <w:bCs/>
              </w:rPr>
            </w:pPr>
            <w:r w:rsidRPr="00A92736">
              <w:rPr>
                <w:color w:val="4472C4" w:themeColor="accent1"/>
              </w:rPr>
              <w:t>[Describe how you meet each General Precondition Established by State Law in this column.]</w:t>
            </w:r>
          </w:p>
        </w:tc>
      </w:tr>
      <w:tr w:rsidR="008A0BB6" w:rsidRPr="00FA5ACA" w14:paraId="44C2EC41" w14:textId="77777777" w:rsidTr="00B2223A">
        <w:trPr>
          <w:trHeight w:val="2564"/>
        </w:trPr>
        <w:tc>
          <w:tcPr>
            <w:tcW w:w="7104" w:type="dxa"/>
          </w:tcPr>
          <w:p w14:paraId="43BB7CBB" w14:textId="77777777" w:rsidR="008A0BB6" w:rsidRPr="00FA5ACA" w:rsidRDefault="008A0BB6" w:rsidP="002C2385">
            <w:pPr>
              <w:autoSpaceDE w:val="0"/>
              <w:autoSpaceDN w:val="0"/>
              <w:adjustRightInd w:val="0"/>
              <w:rPr>
                <w:i/>
                <w:iCs/>
              </w:rPr>
            </w:pPr>
            <w:bookmarkStart w:id="21" w:name="_Toc262297414"/>
            <w:r w:rsidRPr="00FA5ACA">
              <w:rPr>
                <w:rStyle w:val="Heading3Char"/>
              </w:rPr>
              <w:t>(9) California Basic Educational Skills Test</w:t>
            </w:r>
            <w:bookmarkEnd w:id="21"/>
            <w:r w:rsidRPr="00FA5ACA">
              <w:rPr>
                <w:bCs/>
              </w:rPr>
              <w:t xml:space="preserve">. </w:t>
            </w:r>
            <w:r w:rsidRPr="00FA5ACA">
              <w:t xml:space="preserve">In each program of professional preparation, applicants for program admission shall be required to take the California Basic Educational Skills Test (CBEST). The institution shall use the test results to ensure that, upon admission, each candidate receives appropriate academic assistance necessary to pass the examination. </w:t>
            </w:r>
            <w:r w:rsidRPr="00FA5ACA">
              <w:rPr>
                <w:i/>
                <w:iCs/>
              </w:rPr>
              <w:t>Reference: Education Code Sections 44252 (f) and 44225 (n)</w:t>
            </w:r>
          </w:p>
          <w:p w14:paraId="0AACF475" w14:textId="77777777" w:rsidR="008A0BB6" w:rsidRPr="00FA5ACA" w:rsidRDefault="008A0BB6" w:rsidP="002C2385">
            <w:pPr>
              <w:autoSpaceDE w:val="0"/>
              <w:autoSpaceDN w:val="0"/>
              <w:adjustRightInd w:val="0"/>
            </w:pPr>
            <w:r w:rsidRPr="00FA5ACA">
              <w:t>For Internship Programs: In each internship program of professional preparation, candidates who are admitted shall be required to pass the California Basic Educational Skills Test prior to assuming intern teaching responsibilities.</w:t>
            </w:r>
          </w:p>
          <w:p w14:paraId="282AF197" w14:textId="77777777" w:rsidR="008A0BB6" w:rsidRPr="00FA5ACA" w:rsidRDefault="008A0BB6" w:rsidP="002C2385">
            <w:pPr>
              <w:autoSpaceDE w:val="0"/>
              <w:autoSpaceDN w:val="0"/>
              <w:adjustRightInd w:val="0"/>
              <w:rPr>
                <w:i/>
                <w:iCs/>
              </w:rPr>
            </w:pPr>
            <w:r w:rsidRPr="00FA5ACA">
              <w:rPr>
                <w:i/>
                <w:iCs/>
              </w:rPr>
              <w:t>Reference: Education Code Section 44252 (b)</w:t>
            </w:r>
          </w:p>
        </w:tc>
        <w:tc>
          <w:tcPr>
            <w:tcW w:w="5846" w:type="dxa"/>
          </w:tcPr>
          <w:p w14:paraId="1282F378" w14:textId="77777777" w:rsidR="008A0BB6" w:rsidRPr="00FA5ACA" w:rsidRDefault="008A0BB6" w:rsidP="008A0BB6">
            <w:pPr>
              <w:rPr>
                <w:bCs/>
              </w:rPr>
            </w:pPr>
          </w:p>
        </w:tc>
      </w:tr>
      <w:tr w:rsidR="008A0BB6" w:rsidRPr="00FA5ACA" w14:paraId="7876BEEC" w14:textId="77777777" w:rsidTr="00B2223A">
        <w:tc>
          <w:tcPr>
            <w:tcW w:w="12950" w:type="dxa"/>
            <w:gridSpan w:val="2"/>
            <w:shd w:val="clear" w:color="auto" w:fill="F8F8F8"/>
          </w:tcPr>
          <w:p w14:paraId="04EE5328" w14:textId="77777777" w:rsidR="008A0BB6" w:rsidRPr="00FA5ACA" w:rsidRDefault="008A0BB6" w:rsidP="00357330">
            <w:pPr>
              <w:rPr>
                <w:b/>
              </w:rPr>
            </w:pPr>
            <w:r w:rsidRPr="00FA5ACA">
              <w:rPr>
                <w:b/>
              </w:rPr>
              <w:t>Clarification of General Precondition 9</w:t>
            </w:r>
          </w:p>
          <w:p w14:paraId="45F8DB54" w14:textId="77777777" w:rsidR="008A0BB6" w:rsidRPr="00FA5ACA" w:rsidRDefault="008A0BB6" w:rsidP="00AC4CF9">
            <w:pPr>
              <w:spacing w:before="120"/>
            </w:pPr>
            <w:r w:rsidRPr="00FA5ACA">
              <w:rPr>
                <w:i/>
                <w:iCs/>
                <w:u w:val="single"/>
              </w:rPr>
              <w:t>Legislative Intent</w:t>
            </w:r>
            <w:r w:rsidRPr="00FA5ACA">
              <w:rPr>
                <w:i/>
                <w:iCs/>
              </w:rPr>
              <w:t xml:space="preserve">. </w:t>
            </w:r>
            <w:r w:rsidRPr="00FA5ACA">
              <w:t xml:space="preserve">General Precondition 9 does not require passage of the CBEST for admission, only that the examination be taken. It is the intent of the Legislature that admission to a program </w:t>
            </w:r>
            <w:proofErr w:type="gramStart"/>
            <w:r w:rsidRPr="00FA5ACA">
              <w:t>not be</w:t>
            </w:r>
            <w:proofErr w:type="gramEnd"/>
            <w:r w:rsidRPr="00FA5ACA">
              <w:t xml:space="preserve"> denied solely on the basis of having failed to pass the CBEST. Further, it is expected that institutions will make provisions for assisting candidates in passing the exam.</w:t>
            </w:r>
          </w:p>
          <w:p w14:paraId="77030F63" w14:textId="77777777" w:rsidR="008A0BB6" w:rsidRPr="00FA5ACA" w:rsidRDefault="008A0BB6" w:rsidP="00AC4CF9">
            <w:r w:rsidRPr="00FA5ACA">
              <w:rPr>
                <w:i/>
                <w:iCs/>
                <w:u w:val="single"/>
              </w:rPr>
              <w:t>Applicants Residing Out of State When Candidates Apply for Admission</w:t>
            </w:r>
            <w:r w:rsidRPr="00FA5ACA">
              <w:rPr>
                <w:i/>
                <w:iCs/>
              </w:rPr>
              <w:t xml:space="preserve">. </w:t>
            </w:r>
            <w:r w:rsidRPr="00FA5ACA">
              <w:t>Persons residing outside of California when candidates apply for admission must take the CBEST no later than the second available administration of the test after enrolling in the program.</w:t>
            </w:r>
          </w:p>
          <w:p w14:paraId="4B723C0E" w14:textId="77777777" w:rsidR="008A0BB6" w:rsidRPr="00FA5ACA" w:rsidRDefault="008A0BB6" w:rsidP="00AC4CF9">
            <w:pPr>
              <w:rPr>
                <w:bCs/>
              </w:rPr>
            </w:pPr>
            <w:r w:rsidRPr="00FA5ACA">
              <w:rPr>
                <w:i/>
                <w:iCs/>
                <w:u w:val="single"/>
              </w:rPr>
              <w:lastRenderedPageBreak/>
              <w:t>Candidate Qualifications</w:t>
            </w:r>
            <w:r w:rsidRPr="00FA5ACA">
              <w:rPr>
                <w:i/>
                <w:iCs/>
              </w:rPr>
              <w:t xml:space="preserve">. </w:t>
            </w:r>
            <w:r w:rsidRPr="00FA5ACA">
              <w:t>The standard requires that Multiple and Single Subject Credential (Program Standard 17) candidates must pass the CBEST prior to daily student teaching.</w:t>
            </w:r>
          </w:p>
        </w:tc>
      </w:tr>
      <w:tr w:rsidR="008A0BB6" w:rsidRPr="00FA5ACA" w14:paraId="7E75CCDB" w14:textId="77777777" w:rsidTr="00B2223A">
        <w:tc>
          <w:tcPr>
            <w:tcW w:w="7104" w:type="dxa"/>
          </w:tcPr>
          <w:p w14:paraId="7E875BC4" w14:textId="77777777" w:rsidR="008A0BB6" w:rsidRPr="00FA5ACA" w:rsidRDefault="008A0BB6" w:rsidP="002C2385">
            <w:pPr>
              <w:autoSpaceDE w:val="0"/>
              <w:autoSpaceDN w:val="0"/>
              <w:adjustRightInd w:val="0"/>
            </w:pPr>
            <w:r w:rsidRPr="00FA5ACA">
              <w:lastRenderedPageBreak/>
              <w:br w:type="page"/>
            </w:r>
            <w:bookmarkStart w:id="22" w:name="_Toc262297415"/>
            <w:r w:rsidRPr="00FA5ACA">
              <w:rPr>
                <w:rStyle w:val="Heading3Char"/>
              </w:rPr>
              <w:t>(10) Certificate of Clearance</w:t>
            </w:r>
            <w:r w:rsidRPr="00FA5ACA">
              <w:rPr>
                <w:rStyle w:val="Heading3Char"/>
                <w:b w:val="0"/>
              </w:rPr>
              <w:t>.</w:t>
            </w:r>
            <w:bookmarkEnd w:id="22"/>
            <w:r w:rsidRPr="00FA5ACA">
              <w:rPr>
                <w:bCs/>
              </w:rPr>
              <w:t xml:space="preserve"> </w:t>
            </w:r>
            <w:r w:rsidRPr="00FA5ACA">
              <w:t>A college or university that operates a program of professional preparation shall not allow a candidate to assume daily student teaching responsibilities until the candidate obtains a Certificate of Clearance from the Commission that verifies the candidate’s personal identification, unless the individual has already completed the fingerprint and character identification process and has been issued a valid document by the Commission.</w:t>
            </w:r>
          </w:p>
          <w:p w14:paraId="29D86E1B" w14:textId="77777777" w:rsidR="008A0BB6" w:rsidRPr="00FA5ACA" w:rsidRDefault="008A0BB6" w:rsidP="002C2385">
            <w:pPr>
              <w:autoSpaceDE w:val="0"/>
              <w:autoSpaceDN w:val="0"/>
              <w:adjustRightInd w:val="0"/>
              <w:rPr>
                <w:i/>
                <w:iCs/>
              </w:rPr>
            </w:pPr>
            <w:r w:rsidRPr="00FA5ACA">
              <w:rPr>
                <w:i/>
                <w:iCs/>
              </w:rPr>
              <w:t>Reference: Education Code Section 44320 (d)</w:t>
            </w:r>
          </w:p>
          <w:p w14:paraId="6F04DE0B" w14:textId="77777777" w:rsidR="008A0BB6" w:rsidRPr="00FA5ACA" w:rsidRDefault="008A0BB6" w:rsidP="002C2385">
            <w:pPr>
              <w:autoSpaceDE w:val="0"/>
              <w:autoSpaceDN w:val="0"/>
              <w:adjustRightInd w:val="0"/>
            </w:pPr>
            <w:r w:rsidRPr="00FA5ACA">
              <w:t>For Internship Programs: A Certificate of Clearance must be obtained prior to assuming intern teaching responsibilities, intern counseling or psychologist responsibilities.</w:t>
            </w:r>
          </w:p>
        </w:tc>
        <w:tc>
          <w:tcPr>
            <w:tcW w:w="5846" w:type="dxa"/>
          </w:tcPr>
          <w:p w14:paraId="28C73CD7" w14:textId="77777777" w:rsidR="008A0BB6" w:rsidRPr="00FA5ACA" w:rsidRDefault="008A0BB6" w:rsidP="002C2385"/>
        </w:tc>
      </w:tr>
    </w:tbl>
    <w:p w14:paraId="0840FC13" w14:textId="77777777" w:rsidR="006C32BA" w:rsidRDefault="006C32BA" w:rsidP="00BB7FE6">
      <w:pPr>
        <w:pStyle w:val="Heading2"/>
        <w:sectPr w:rsidR="006C32BA" w:rsidSect="00627697">
          <w:type w:val="continuous"/>
          <w:pgSz w:w="15840" w:h="12240" w:orient="landscape"/>
          <w:pgMar w:top="1440" w:right="1440" w:bottom="1440" w:left="1440" w:header="720" w:footer="720" w:gutter="0"/>
          <w:cols w:space="720"/>
          <w:titlePg/>
          <w:docGrid w:linePitch="360"/>
        </w:sectPr>
      </w:pPr>
    </w:p>
    <w:p w14:paraId="40132AF6" w14:textId="77777777" w:rsidR="008A0BB6" w:rsidRDefault="008A0BB6">
      <w:pPr>
        <w:rPr>
          <w:b/>
          <w:bCs/>
          <w:szCs w:val="20"/>
          <w:lang w:bidi="ar-SA"/>
        </w:rPr>
      </w:pPr>
      <w:r>
        <w:br w:type="page"/>
      </w:r>
    </w:p>
    <w:p w14:paraId="3A63F2D7" w14:textId="77777777" w:rsidR="00741F06" w:rsidRDefault="00AA09B0" w:rsidP="00B2223A">
      <w:pPr>
        <w:pStyle w:val="Heading3"/>
      </w:pPr>
      <w:bookmarkStart w:id="23" w:name="_Toc262297416"/>
      <w:r w:rsidRPr="00627697">
        <w:lastRenderedPageBreak/>
        <w:t xml:space="preserve">Preconditions for </w:t>
      </w:r>
      <w:r w:rsidR="008A0BB6">
        <w:t>[Name of Specific Credential Program]</w:t>
      </w:r>
      <w:bookmarkEnd w:id="23"/>
    </w:p>
    <w:p w14:paraId="2767E2EC" w14:textId="7972AF56" w:rsidR="008A0BB6" w:rsidRDefault="008A0BB6" w:rsidP="008A0BB6">
      <w:pPr>
        <w:jc w:val="center"/>
        <w:rPr>
          <w:color w:val="4472C4" w:themeColor="accent1"/>
          <w:lang w:bidi="ar-SA"/>
        </w:rPr>
      </w:pPr>
      <w:r w:rsidRPr="00A92736">
        <w:rPr>
          <w:color w:val="4472C4" w:themeColor="accent1"/>
          <w:lang w:bidi="ar-SA"/>
        </w:rPr>
        <w:t>Use this if applicable to your credential.</w:t>
      </w:r>
    </w:p>
    <w:p w14:paraId="3FBD72B3" w14:textId="1A572EF5" w:rsidR="006E00EF" w:rsidRPr="00B2223A" w:rsidRDefault="006E00EF" w:rsidP="006E00EF">
      <w:pPr>
        <w:pBdr>
          <w:top w:val="single" w:sz="4" w:space="1" w:color="auto"/>
          <w:left w:val="single" w:sz="4" w:space="4" w:color="auto"/>
          <w:bottom w:val="single" w:sz="4" w:space="1" w:color="auto"/>
          <w:right w:val="single" w:sz="4" w:space="4" w:color="auto"/>
        </w:pBdr>
        <w:jc w:val="left"/>
        <w:rPr>
          <w:lang w:bidi="ar-SA"/>
        </w:rPr>
      </w:pPr>
      <w:r w:rsidRPr="00FA5ACA">
        <w:rPr>
          <w:bCs/>
          <w:i/>
          <w:iCs/>
        </w:rPr>
        <w:t>The following Preconditions apply to all institutions applying to the Commission for approval to offer [Name of Credential] Credentials.  Institutions must respond to the 10 General preconditions as well as the additional preconditions.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3"/>
        <w:gridCol w:w="5937"/>
      </w:tblGrid>
      <w:tr w:rsidR="008A0BB6" w:rsidRPr="00FA5ACA" w14:paraId="0EF57705" w14:textId="77777777" w:rsidTr="006E00EF">
        <w:trPr>
          <w:cantSplit/>
        </w:trPr>
        <w:tc>
          <w:tcPr>
            <w:tcW w:w="7013" w:type="dxa"/>
          </w:tcPr>
          <w:p w14:paraId="23FE6007" w14:textId="77777777" w:rsidR="008A0BB6" w:rsidRPr="00A92736" w:rsidRDefault="008A0BB6" w:rsidP="00265D72">
            <w:pPr>
              <w:rPr>
                <w:color w:val="4472C4" w:themeColor="accent1"/>
              </w:rPr>
            </w:pPr>
            <w:r w:rsidRPr="00A92736">
              <w:rPr>
                <w:color w:val="4472C4" w:themeColor="accent1"/>
              </w:rPr>
              <w:t>[List preconditions for your specific credential here.  Add more rows if required.]</w:t>
            </w:r>
          </w:p>
          <w:p w14:paraId="70B6A14A" w14:textId="77777777" w:rsidR="008A0BB6" w:rsidRPr="00FA5ACA" w:rsidRDefault="008A0BB6" w:rsidP="00265D72"/>
        </w:tc>
        <w:tc>
          <w:tcPr>
            <w:tcW w:w="5937" w:type="dxa"/>
          </w:tcPr>
          <w:p w14:paraId="29568F4B" w14:textId="77777777" w:rsidR="008A0BB6" w:rsidRPr="00A92736" w:rsidRDefault="008A0BB6" w:rsidP="002C2385">
            <w:pPr>
              <w:rPr>
                <w:color w:val="4472C4" w:themeColor="accent1"/>
              </w:rPr>
            </w:pPr>
            <w:r w:rsidRPr="00A92736">
              <w:rPr>
                <w:color w:val="4472C4" w:themeColor="accent1"/>
              </w:rPr>
              <w:t>[Describe preconditions for your specific credential here.]</w:t>
            </w:r>
          </w:p>
          <w:p w14:paraId="78C3EA03" w14:textId="77777777" w:rsidR="008A0BB6" w:rsidRPr="00FA5ACA" w:rsidRDefault="008A0BB6" w:rsidP="002C2385"/>
        </w:tc>
      </w:tr>
      <w:tr w:rsidR="008A0BB6" w:rsidRPr="00FA5ACA" w14:paraId="3DD426A9" w14:textId="77777777" w:rsidTr="006E00EF">
        <w:trPr>
          <w:cantSplit/>
        </w:trPr>
        <w:tc>
          <w:tcPr>
            <w:tcW w:w="7013" w:type="dxa"/>
          </w:tcPr>
          <w:p w14:paraId="79E3AD17" w14:textId="77777777" w:rsidR="008A0BB6" w:rsidRPr="00FA5ACA" w:rsidRDefault="008A0BB6" w:rsidP="008A0BB6"/>
        </w:tc>
        <w:tc>
          <w:tcPr>
            <w:tcW w:w="5937" w:type="dxa"/>
          </w:tcPr>
          <w:p w14:paraId="2E7446FD" w14:textId="77777777" w:rsidR="008A0BB6" w:rsidRPr="00FA5ACA" w:rsidRDefault="008A0BB6" w:rsidP="00F37F2F"/>
        </w:tc>
      </w:tr>
      <w:tr w:rsidR="008A0BB6" w:rsidRPr="00FA5ACA" w14:paraId="6B51D657" w14:textId="77777777" w:rsidTr="006E00EF">
        <w:trPr>
          <w:cantSplit/>
        </w:trPr>
        <w:tc>
          <w:tcPr>
            <w:tcW w:w="7013" w:type="dxa"/>
          </w:tcPr>
          <w:p w14:paraId="0EDBF791" w14:textId="77777777" w:rsidR="008A0BB6" w:rsidRPr="00FA5ACA" w:rsidRDefault="008A0BB6" w:rsidP="008A0BB6"/>
        </w:tc>
        <w:tc>
          <w:tcPr>
            <w:tcW w:w="5937" w:type="dxa"/>
          </w:tcPr>
          <w:p w14:paraId="27B524CF" w14:textId="77777777" w:rsidR="008A0BB6" w:rsidRPr="00FA5ACA" w:rsidRDefault="008A0BB6" w:rsidP="008A0BB6">
            <w:pPr>
              <w:autoSpaceDE w:val="0"/>
              <w:autoSpaceDN w:val="0"/>
              <w:adjustRightInd w:val="0"/>
            </w:pPr>
          </w:p>
        </w:tc>
      </w:tr>
      <w:tr w:rsidR="00AA09B0" w:rsidRPr="00FA5ACA" w14:paraId="4EBBAD02" w14:textId="77777777" w:rsidTr="006E00EF">
        <w:trPr>
          <w:cantSplit/>
        </w:trPr>
        <w:tc>
          <w:tcPr>
            <w:tcW w:w="7013" w:type="dxa"/>
          </w:tcPr>
          <w:p w14:paraId="3D98A9D6" w14:textId="77777777" w:rsidR="00AA09B0" w:rsidRPr="00FA5ACA" w:rsidRDefault="00AA09B0" w:rsidP="002C2385"/>
        </w:tc>
        <w:tc>
          <w:tcPr>
            <w:tcW w:w="5937" w:type="dxa"/>
          </w:tcPr>
          <w:p w14:paraId="24B855AE" w14:textId="77777777" w:rsidR="005D7B48" w:rsidRPr="00FA5ACA" w:rsidRDefault="005D7B48" w:rsidP="002C2385"/>
        </w:tc>
      </w:tr>
    </w:tbl>
    <w:p w14:paraId="10E8F36E" w14:textId="77777777" w:rsidR="00AA09B0" w:rsidRPr="00627697" w:rsidRDefault="00AA09B0" w:rsidP="002C2385">
      <w:pPr>
        <w:rPr>
          <w:szCs w:val="20"/>
        </w:rPr>
      </w:pPr>
    </w:p>
    <w:p w14:paraId="0334B63D" w14:textId="77777777" w:rsidR="00B2223A" w:rsidRDefault="00AA09B0" w:rsidP="00B2223A">
      <w:pPr>
        <w:pStyle w:val="Heading3"/>
        <w:rPr>
          <w:rStyle w:val="Heading2Char"/>
          <w:b/>
          <w:bCs/>
        </w:rPr>
      </w:pPr>
      <w:r w:rsidRPr="00627697">
        <w:br w:type="page"/>
      </w:r>
      <w:bookmarkStart w:id="24" w:name="_Toc262297417"/>
      <w:r w:rsidRPr="00B2223A">
        <w:rPr>
          <w:rStyle w:val="Heading2Char"/>
          <w:b/>
          <w:bCs/>
        </w:rPr>
        <w:lastRenderedPageBreak/>
        <w:t>Common Standards</w:t>
      </w:r>
    </w:p>
    <w:bookmarkEnd w:id="24"/>
    <w:p w14:paraId="58943436" w14:textId="4F454E7D" w:rsidR="00B2223A" w:rsidRPr="00B2223A" w:rsidRDefault="00B2223A" w:rsidP="00B2223A">
      <w:pPr>
        <w:jc w:val="center"/>
      </w:pPr>
      <w:r>
        <w:rPr>
          <w:szCs w:val="20"/>
          <w:lang w:bidi="ar-SA"/>
        </w:rPr>
        <w:t>(Adopted November 2008)</w:t>
      </w:r>
    </w:p>
    <w:p w14:paraId="5B13406F" w14:textId="796A0010" w:rsidR="00AA09B0" w:rsidRDefault="00AA09B0" w:rsidP="002C2385">
      <w:pPr>
        <w:autoSpaceDE w:val="0"/>
        <w:autoSpaceDN w:val="0"/>
        <w:adjustRightInd w:val="0"/>
        <w:spacing w:after="0" w:line="240" w:lineRule="auto"/>
        <w:rPr>
          <w:szCs w:val="20"/>
          <w:lang w:bidi="ar-SA"/>
        </w:rPr>
      </w:pPr>
      <w:r w:rsidRPr="00627697">
        <w:rPr>
          <w:szCs w:val="20"/>
          <w:lang w:bidi="ar-SA"/>
        </w:rPr>
        <w:t>The Common Standards must be met by all Commission approved teacher preparation programs. If other programs at an institution have already been approved for the Common Standards, new programs may reference those approved standards and submit any exclusive information regarding the Common Standards for their program.</w:t>
      </w:r>
    </w:p>
    <w:p w14:paraId="72915574" w14:textId="77777777" w:rsidR="00233DC5" w:rsidRPr="00627697" w:rsidRDefault="00233DC5" w:rsidP="002C2385">
      <w:pPr>
        <w:autoSpaceDE w:val="0"/>
        <w:autoSpaceDN w:val="0"/>
        <w:adjustRightInd w:val="0"/>
        <w:spacing w:after="0" w:line="240" w:lineRule="auto"/>
        <w:rPr>
          <w:szCs w:val="20"/>
          <w:lang w:bidi="ar-SA"/>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6"/>
        <w:gridCol w:w="8602"/>
      </w:tblGrid>
      <w:tr w:rsidR="0045102F" w:rsidRPr="00B1404A" w14:paraId="5596B366" w14:textId="77777777" w:rsidTr="00B1404A">
        <w:trPr>
          <w:cantSplit/>
          <w:trHeight w:val="305"/>
          <w:tblHeader/>
        </w:trPr>
        <w:tc>
          <w:tcPr>
            <w:tcW w:w="5006" w:type="dxa"/>
            <w:vAlign w:val="center"/>
          </w:tcPr>
          <w:p w14:paraId="0C9BC096" w14:textId="77777777" w:rsidR="0045102F" w:rsidRPr="00B1404A" w:rsidRDefault="0045102F" w:rsidP="00B1404A">
            <w:pPr>
              <w:jc w:val="center"/>
              <w:rPr>
                <w:b/>
                <w:bCs/>
              </w:rPr>
            </w:pPr>
            <w:r w:rsidRPr="00B1404A">
              <w:rPr>
                <w:b/>
                <w:bCs/>
              </w:rPr>
              <w:t>Standard</w:t>
            </w:r>
          </w:p>
        </w:tc>
        <w:tc>
          <w:tcPr>
            <w:tcW w:w="8602" w:type="dxa"/>
            <w:vAlign w:val="center"/>
          </w:tcPr>
          <w:p w14:paraId="4E38014D" w14:textId="77777777" w:rsidR="0045102F" w:rsidRPr="00B1404A" w:rsidRDefault="0045102F" w:rsidP="00B1404A">
            <w:pPr>
              <w:jc w:val="center"/>
              <w:rPr>
                <w:b/>
                <w:bCs/>
                <w:color w:val="000000"/>
              </w:rPr>
            </w:pPr>
            <w:r w:rsidRPr="00B1404A">
              <w:rPr>
                <w:b/>
                <w:bCs/>
                <w:color w:val="000000"/>
              </w:rPr>
              <w:t>Narrative Addressing Standard—hyperlink to supporting documentation</w:t>
            </w:r>
          </w:p>
        </w:tc>
      </w:tr>
      <w:tr w:rsidR="0045102F" w:rsidRPr="00FA5ACA" w14:paraId="0D646D51" w14:textId="77777777" w:rsidTr="00233DC5">
        <w:trPr>
          <w:cantSplit/>
        </w:trPr>
        <w:tc>
          <w:tcPr>
            <w:tcW w:w="5006" w:type="dxa"/>
          </w:tcPr>
          <w:p w14:paraId="116D3463" w14:textId="77777777" w:rsidR="0045102F" w:rsidRPr="00B1404A" w:rsidRDefault="0045102F" w:rsidP="00B1404A">
            <w:pPr>
              <w:jc w:val="center"/>
              <w:rPr>
                <w:b/>
                <w:bCs/>
              </w:rPr>
            </w:pPr>
            <w:bookmarkStart w:id="25" w:name="_Toc262297418"/>
            <w:r w:rsidRPr="00B1404A">
              <w:rPr>
                <w:b/>
                <w:bCs/>
              </w:rPr>
              <w:t>Standard 1: Educational Leadership</w:t>
            </w:r>
            <w:bookmarkEnd w:id="25"/>
          </w:p>
          <w:p w14:paraId="257F75C2" w14:textId="77777777" w:rsidR="0045102F" w:rsidRPr="00FA5ACA" w:rsidRDefault="0084754D" w:rsidP="0031267F">
            <w:r w:rsidRPr="00FA5ACA">
              <w:rPr>
                <w:lang w:val="en"/>
              </w:rPr>
              <w:t>The institution and education unit create and articulate a research-based vision for educator preparation that is responsive to California's adopted standards and curriculum frameworks. The vision provides direction for programs, courses, teaching, candidate performance and experiences, scholarship, service, collaboration, and unit accountability. The faculty, instructional personnel, and relevant stakeholders are actively involved in the organization, coordination, and governance of all professional preparation programs. Unit leadership has the authority and institutional support needed to create effective strategies to achieve the needs of all programs and represents the interests of each program within the institution. The education unit implements and monitors a credential recommendation process that ensures that candidates recommended for a credential have met all requirements.</w:t>
            </w:r>
          </w:p>
        </w:tc>
        <w:tc>
          <w:tcPr>
            <w:tcW w:w="8602" w:type="dxa"/>
          </w:tcPr>
          <w:p w14:paraId="25D56B5F" w14:textId="77777777" w:rsidR="0045102F" w:rsidRPr="00A92736" w:rsidRDefault="0045102F" w:rsidP="008A0BB6">
            <w:pPr>
              <w:rPr>
                <w:color w:val="4472C4" w:themeColor="accent1"/>
              </w:rPr>
            </w:pPr>
            <w:r w:rsidRPr="00A92736">
              <w:rPr>
                <w:color w:val="4472C4" w:themeColor="accent1"/>
              </w:rPr>
              <w:t xml:space="preserve">[Describe how you meet the </w:t>
            </w:r>
            <w:r w:rsidR="0084754D" w:rsidRPr="00A92736">
              <w:rPr>
                <w:color w:val="4472C4" w:themeColor="accent1"/>
              </w:rPr>
              <w:t>Common Standards here</w:t>
            </w:r>
            <w:r w:rsidRPr="00A92736">
              <w:rPr>
                <w:color w:val="4472C4" w:themeColor="accent1"/>
              </w:rPr>
              <w:t>]</w:t>
            </w:r>
          </w:p>
          <w:p w14:paraId="0784D177" w14:textId="77777777" w:rsidR="0045102F" w:rsidRPr="00FA5ACA" w:rsidRDefault="0045102F" w:rsidP="002C2385"/>
        </w:tc>
      </w:tr>
      <w:tr w:rsidR="0045102F" w:rsidRPr="00FA5ACA" w14:paraId="1D760124" w14:textId="77777777" w:rsidTr="00233DC5">
        <w:trPr>
          <w:cantSplit/>
        </w:trPr>
        <w:tc>
          <w:tcPr>
            <w:tcW w:w="5006" w:type="dxa"/>
          </w:tcPr>
          <w:p w14:paraId="60C280E9" w14:textId="77777777" w:rsidR="0045102F" w:rsidRPr="00B1404A" w:rsidRDefault="0045102F" w:rsidP="00B1404A">
            <w:pPr>
              <w:ind w:right="408"/>
              <w:jc w:val="center"/>
              <w:rPr>
                <w:b/>
                <w:bCs/>
              </w:rPr>
            </w:pPr>
            <w:bookmarkStart w:id="26" w:name="_Toc262297419"/>
            <w:r w:rsidRPr="00B1404A">
              <w:rPr>
                <w:b/>
                <w:bCs/>
              </w:rPr>
              <w:lastRenderedPageBreak/>
              <w:t xml:space="preserve">Standard 2: </w:t>
            </w:r>
            <w:r w:rsidR="0084754D" w:rsidRPr="00B1404A">
              <w:rPr>
                <w:b/>
                <w:bCs/>
                <w:lang w:val="en"/>
              </w:rPr>
              <w:t>Unit and Program Assessment and Evaluation</w:t>
            </w:r>
            <w:bookmarkEnd w:id="26"/>
          </w:p>
          <w:p w14:paraId="20D8453C" w14:textId="77777777" w:rsidR="0045102F" w:rsidRPr="00FA5ACA" w:rsidRDefault="0084754D" w:rsidP="006C32BA">
            <w:pPr>
              <w:autoSpaceDE w:val="0"/>
              <w:autoSpaceDN w:val="0"/>
              <w:adjustRightInd w:val="0"/>
            </w:pPr>
            <w:r w:rsidRPr="00FA5ACA">
              <w:rPr>
                <w:lang w:val="en"/>
              </w:rPr>
              <w:t>The education unit implements an assessment and evaluation system for ongoing program and unit evaluation and improvement. The system collects, analyzes, and utilizes data on candidate and program completer performance and unit operations. Assessment in all programs includes ongoing and comprehensive data collection related to candidate qualifications, proficiencies, and competence, as well as program effectiveness, and is used for improvement purposes.</w:t>
            </w:r>
          </w:p>
        </w:tc>
        <w:tc>
          <w:tcPr>
            <w:tcW w:w="8602" w:type="dxa"/>
          </w:tcPr>
          <w:p w14:paraId="23E4D96D" w14:textId="77777777" w:rsidR="0045102F" w:rsidRPr="00FA5ACA" w:rsidRDefault="0045102F" w:rsidP="002C2385">
            <w:pPr>
              <w:autoSpaceDE w:val="0"/>
              <w:autoSpaceDN w:val="0"/>
              <w:adjustRightInd w:val="0"/>
            </w:pPr>
          </w:p>
        </w:tc>
      </w:tr>
      <w:tr w:rsidR="0045102F" w:rsidRPr="00FA5ACA" w14:paraId="4BD1F9E6" w14:textId="77777777" w:rsidTr="00233DC5">
        <w:trPr>
          <w:cantSplit/>
          <w:trHeight w:val="197"/>
        </w:trPr>
        <w:tc>
          <w:tcPr>
            <w:tcW w:w="5006" w:type="dxa"/>
          </w:tcPr>
          <w:p w14:paraId="5316940D" w14:textId="77777777" w:rsidR="0045102F" w:rsidRPr="00B1404A" w:rsidRDefault="0045102F" w:rsidP="00B1404A">
            <w:pPr>
              <w:jc w:val="center"/>
              <w:rPr>
                <w:b/>
                <w:bCs/>
              </w:rPr>
            </w:pPr>
            <w:bookmarkStart w:id="27" w:name="_Toc262297420"/>
            <w:r w:rsidRPr="00B1404A">
              <w:rPr>
                <w:b/>
                <w:bCs/>
              </w:rPr>
              <w:t>Standard 3: Resources</w:t>
            </w:r>
            <w:bookmarkEnd w:id="27"/>
          </w:p>
          <w:p w14:paraId="243A85A0" w14:textId="77777777" w:rsidR="0045102F" w:rsidRPr="00FA5ACA" w:rsidRDefault="0084754D" w:rsidP="00233DC5">
            <w:pPr>
              <w:autoSpaceDE w:val="0"/>
              <w:autoSpaceDN w:val="0"/>
              <w:adjustRightInd w:val="0"/>
            </w:pPr>
            <w:r w:rsidRPr="00FA5ACA">
              <w:rPr>
                <w:lang w:val="en"/>
              </w:rPr>
              <w:t xml:space="preserve">The institution provides the unit with the necessary budget, qualified personnel, adequate </w:t>
            </w:r>
            <w:proofErr w:type="gramStart"/>
            <w:r w:rsidRPr="00FA5ACA">
              <w:rPr>
                <w:lang w:val="en"/>
              </w:rPr>
              <w:t>facilities</w:t>
            </w:r>
            <w:proofErr w:type="gramEnd"/>
            <w:r w:rsidRPr="00FA5ACA">
              <w:rPr>
                <w:lang w:val="en"/>
              </w:rPr>
              <w:t xml:space="preserve"> and other resources to prepare candidates effectively to meet the state-adopted standards for educator preparation. Sufficient resources are consistently allocated for effective operation of each credential or certificate program for coordination, admission, advisement, curriculum and professional development, instruction, field-based supervision and/or clinical experiences, and assessment management. Sufficient information resources and related personnel are available to meet program and candidate needs. A process that is inclusive of all programs is in place to determine resource needs.</w:t>
            </w:r>
          </w:p>
        </w:tc>
        <w:tc>
          <w:tcPr>
            <w:tcW w:w="8602" w:type="dxa"/>
          </w:tcPr>
          <w:p w14:paraId="742508DD" w14:textId="77777777" w:rsidR="0045102F" w:rsidRPr="00FA5ACA" w:rsidRDefault="0045102F" w:rsidP="002C2385">
            <w:pPr>
              <w:autoSpaceDE w:val="0"/>
              <w:autoSpaceDN w:val="0"/>
              <w:adjustRightInd w:val="0"/>
            </w:pPr>
          </w:p>
        </w:tc>
      </w:tr>
      <w:tr w:rsidR="0045102F" w:rsidRPr="00FA5ACA" w14:paraId="7746DFF5" w14:textId="77777777" w:rsidTr="00233DC5">
        <w:trPr>
          <w:cantSplit/>
        </w:trPr>
        <w:tc>
          <w:tcPr>
            <w:tcW w:w="5006" w:type="dxa"/>
          </w:tcPr>
          <w:p w14:paraId="75786BC2" w14:textId="77777777" w:rsidR="00233DC5" w:rsidRPr="00B1404A" w:rsidRDefault="0084754D" w:rsidP="00B1404A">
            <w:pPr>
              <w:jc w:val="center"/>
              <w:rPr>
                <w:b/>
                <w:bCs/>
                <w:lang w:val="en"/>
              </w:rPr>
            </w:pPr>
            <w:r w:rsidRPr="00B1404A">
              <w:rPr>
                <w:b/>
                <w:bCs/>
                <w:lang w:val="en"/>
              </w:rPr>
              <w:lastRenderedPageBreak/>
              <w:t>Standard 4: Faculty and Instructional Personnel</w:t>
            </w:r>
          </w:p>
          <w:p w14:paraId="56965042" w14:textId="76174329" w:rsidR="0045102F" w:rsidRPr="00233DC5" w:rsidRDefault="0084754D" w:rsidP="00233DC5">
            <w:pPr>
              <w:rPr>
                <w:lang w:val="en"/>
              </w:rPr>
            </w:pPr>
            <w:r w:rsidRPr="00233DC5">
              <w:rPr>
                <w:lang w:val="en"/>
              </w:rPr>
              <w:t>Qualified persons are employed and assigned to teach all courses, to provide professional development, and to supervise field-based and/or clinical experiences in each credential and certificate program. Instructional personnel and faculty have current knowledge in the content they teach, understand the context of public schooling, and model best professional practices in teaching and learning, scholarship, and service. They are reflective of a diverse society and knowledgeable about diverse abilities, cultural, language, ethnic and gender diversity. They have a thorough grasp of the academic standards, frameworks, and accountability systems that drive the curriculum of public schools. They collaborate regularly and systematically with colleagues in P-12 settings/college/university units and members of the broader, professional community to improve teaching, candidate learning, and educator preparation. The institution provides support for faculty development. The unit regularly evaluates the performance of course instructors and field supervisors, recognizes excellence, and retains only those who are consistently effective.</w:t>
            </w:r>
          </w:p>
        </w:tc>
        <w:tc>
          <w:tcPr>
            <w:tcW w:w="8602" w:type="dxa"/>
          </w:tcPr>
          <w:p w14:paraId="5F91CBDE" w14:textId="77777777" w:rsidR="0045102F" w:rsidRPr="00FA5ACA" w:rsidRDefault="0045102F" w:rsidP="002C2385">
            <w:pPr>
              <w:autoSpaceDE w:val="0"/>
              <w:autoSpaceDN w:val="0"/>
              <w:adjustRightInd w:val="0"/>
            </w:pPr>
          </w:p>
        </w:tc>
      </w:tr>
      <w:tr w:rsidR="0045102F" w:rsidRPr="00FA5ACA" w14:paraId="737179AF" w14:textId="77777777" w:rsidTr="00233DC5">
        <w:trPr>
          <w:cantSplit/>
          <w:trHeight w:val="395"/>
        </w:trPr>
        <w:tc>
          <w:tcPr>
            <w:tcW w:w="5006" w:type="dxa"/>
          </w:tcPr>
          <w:p w14:paraId="750AB1D0" w14:textId="04F93865" w:rsidR="0084754D" w:rsidRPr="00B1404A" w:rsidRDefault="0084754D" w:rsidP="00B1404A">
            <w:pPr>
              <w:jc w:val="center"/>
              <w:rPr>
                <w:b/>
                <w:bCs/>
                <w:lang w:val="en"/>
              </w:rPr>
            </w:pPr>
            <w:r w:rsidRPr="00B1404A">
              <w:rPr>
                <w:b/>
                <w:bCs/>
                <w:lang w:val="en"/>
              </w:rPr>
              <w:lastRenderedPageBreak/>
              <w:t>Standard 5: Admission</w:t>
            </w:r>
          </w:p>
          <w:p w14:paraId="3654637C" w14:textId="77777777" w:rsidR="0045102F" w:rsidRPr="00FA5ACA" w:rsidRDefault="0084754D" w:rsidP="00233DC5">
            <w:pPr>
              <w:rPr>
                <w:lang w:val="en"/>
              </w:rPr>
            </w:pPr>
            <w:r w:rsidRPr="00FA5ACA">
              <w:rPr>
                <w:lang w:val="en"/>
              </w:rPr>
              <w:t xml:space="preserve">In each professional preparation program, applicants are admitted </w:t>
            </w:r>
            <w:proofErr w:type="gramStart"/>
            <w:r w:rsidRPr="00FA5ACA">
              <w:rPr>
                <w:lang w:val="en"/>
              </w:rPr>
              <w:t>on the basis of</w:t>
            </w:r>
            <w:proofErr w:type="gramEnd"/>
            <w:r w:rsidRPr="00FA5ACA">
              <w:rPr>
                <w:lang w:val="en"/>
              </w:rPr>
              <w:t xml:space="preserve"> well-defined admission criteria and procedures, including all Commission-adopted requirements. Multiple measures are used in an admission process that encourages and supports applicants from diverse populations. The unit determines that admitted candidates have appropriate pre-professional experiences and personal characteristics, including sensitivity to California's diverse population, effective communication skills, basic academic skills, and prior experiences that suggest a strong potential for professional effectiveness. </w:t>
            </w:r>
          </w:p>
        </w:tc>
        <w:tc>
          <w:tcPr>
            <w:tcW w:w="8602" w:type="dxa"/>
          </w:tcPr>
          <w:p w14:paraId="5E796DAD" w14:textId="77777777" w:rsidR="0045102F" w:rsidRPr="00FA5ACA" w:rsidRDefault="0045102F" w:rsidP="002C2385">
            <w:pPr>
              <w:autoSpaceDE w:val="0"/>
              <w:autoSpaceDN w:val="0"/>
              <w:adjustRightInd w:val="0"/>
            </w:pPr>
          </w:p>
        </w:tc>
      </w:tr>
      <w:tr w:rsidR="0045102F" w:rsidRPr="00FA5ACA" w14:paraId="35AD9452" w14:textId="77777777" w:rsidTr="00233DC5">
        <w:trPr>
          <w:cantSplit/>
        </w:trPr>
        <w:tc>
          <w:tcPr>
            <w:tcW w:w="5006" w:type="dxa"/>
          </w:tcPr>
          <w:p w14:paraId="635627BB" w14:textId="77777777" w:rsidR="0084754D" w:rsidRPr="00B1404A" w:rsidRDefault="0084754D" w:rsidP="00B1404A">
            <w:pPr>
              <w:jc w:val="center"/>
              <w:rPr>
                <w:b/>
                <w:bCs/>
                <w:lang w:val="en"/>
              </w:rPr>
            </w:pPr>
            <w:r w:rsidRPr="00B1404A">
              <w:rPr>
                <w:b/>
                <w:bCs/>
                <w:lang w:val="en"/>
              </w:rPr>
              <w:lastRenderedPageBreak/>
              <w:t>Standard 6: Advice and Assistance</w:t>
            </w:r>
          </w:p>
          <w:p w14:paraId="7B3F2631" w14:textId="77777777" w:rsidR="0045102F" w:rsidRPr="0084754D" w:rsidRDefault="0084754D" w:rsidP="00B1404A">
            <w:pPr>
              <w:rPr>
                <w:lang w:val="en"/>
              </w:rPr>
            </w:pPr>
            <w:r w:rsidRPr="0084754D">
              <w:rPr>
                <w:lang w:val="en"/>
              </w:rPr>
              <w:t xml:space="preserve">Qualified members of the unit are assigned and available to advise applicants and candidates about their academic, </w:t>
            </w:r>
            <w:proofErr w:type="gramStart"/>
            <w:r w:rsidRPr="0084754D">
              <w:rPr>
                <w:lang w:val="en"/>
              </w:rPr>
              <w:t>professional</w:t>
            </w:r>
            <w:proofErr w:type="gramEnd"/>
            <w:r w:rsidRPr="0084754D">
              <w:rPr>
                <w:lang w:val="en"/>
              </w:rPr>
              <w:t xml:space="preserve"> and personal development, and to assist each candidate's professional placement. Appropriate information is accessible to guide each candidate's attainment of all program requirements. The institution and/or unit provide support and assistance to candidates and only retains candidates who are suited for entry or advancement in the education profession. Evidence regarding candidate progress and performance is consistently utilized to guide advisement and assistance efforts.</w:t>
            </w:r>
          </w:p>
        </w:tc>
        <w:tc>
          <w:tcPr>
            <w:tcW w:w="8602" w:type="dxa"/>
          </w:tcPr>
          <w:p w14:paraId="40A93045" w14:textId="77777777" w:rsidR="0045102F" w:rsidRPr="00FA5ACA" w:rsidRDefault="0045102F" w:rsidP="002C2385">
            <w:pPr>
              <w:autoSpaceDE w:val="0"/>
              <w:autoSpaceDN w:val="0"/>
              <w:adjustRightInd w:val="0"/>
            </w:pPr>
          </w:p>
        </w:tc>
      </w:tr>
      <w:tr w:rsidR="0045102F" w:rsidRPr="00FA5ACA" w14:paraId="4644AE1D" w14:textId="77777777" w:rsidTr="00233DC5">
        <w:trPr>
          <w:cantSplit/>
        </w:trPr>
        <w:tc>
          <w:tcPr>
            <w:tcW w:w="5006" w:type="dxa"/>
          </w:tcPr>
          <w:p w14:paraId="5F1FCBAE" w14:textId="77777777" w:rsidR="0084754D" w:rsidRPr="00B1404A" w:rsidRDefault="0084754D" w:rsidP="00B1404A">
            <w:pPr>
              <w:jc w:val="center"/>
              <w:rPr>
                <w:b/>
                <w:bCs/>
                <w:lang w:val="en"/>
              </w:rPr>
            </w:pPr>
            <w:r w:rsidRPr="00B1404A">
              <w:rPr>
                <w:b/>
                <w:bCs/>
                <w:lang w:val="en"/>
              </w:rPr>
              <w:lastRenderedPageBreak/>
              <w:t>Standard 7: Field Experience and Clinical Practice</w:t>
            </w:r>
          </w:p>
          <w:p w14:paraId="61D5AD66" w14:textId="77777777" w:rsidR="0045102F" w:rsidRPr="0084754D" w:rsidRDefault="0084754D" w:rsidP="00B1404A">
            <w:pPr>
              <w:rPr>
                <w:lang w:val="en"/>
              </w:rPr>
            </w:pPr>
            <w:r w:rsidRPr="0084754D">
              <w:rPr>
                <w:lang w:val="en"/>
              </w:rPr>
              <w:t>The unit and its partners design, implement, and regularly evaluate a planned sequence of field-based and clinical experiences in order for candidates to develop and demonstrate the knowledge and skills necessary to educate and support all students effectively so that P-12 students meet state-adopted academic standards. For each credential and certificate program, the unit collaborates with its partners regarding the criteria for selection of school sites, effective clinical personnel, and site-based supervising personnel. Field-based work and/or clinical experiences provide candidates opportunities to understand and address issues of diversity that affect school climate, teaching, and learning, and to help candidates develop research-based strategies for improving student learning.</w:t>
            </w:r>
          </w:p>
        </w:tc>
        <w:tc>
          <w:tcPr>
            <w:tcW w:w="8602" w:type="dxa"/>
          </w:tcPr>
          <w:p w14:paraId="5D69FE11" w14:textId="77777777" w:rsidR="0045102F" w:rsidRPr="00FA5ACA" w:rsidRDefault="0045102F" w:rsidP="0009040B">
            <w:pPr>
              <w:autoSpaceDE w:val="0"/>
              <w:autoSpaceDN w:val="0"/>
              <w:adjustRightInd w:val="0"/>
            </w:pPr>
          </w:p>
        </w:tc>
      </w:tr>
      <w:tr w:rsidR="0045102F" w:rsidRPr="00FA5ACA" w14:paraId="3BB1E84C" w14:textId="77777777" w:rsidTr="00233DC5">
        <w:trPr>
          <w:cantSplit/>
        </w:trPr>
        <w:tc>
          <w:tcPr>
            <w:tcW w:w="5006" w:type="dxa"/>
          </w:tcPr>
          <w:p w14:paraId="53D86381" w14:textId="77777777" w:rsidR="0084754D" w:rsidRPr="00B1404A" w:rsidRDefault="0084754D" w:rsidP="00B1404A">
            <w:pPr>
              <w:jc w:val="center"/>
              <w:rPr>
                <w:b/>
                <w:bCs/>
                <w:lang w:val="en"/>
              </w:rPr>
            </w:pPr>
            <w:r w:rsidRPr="00B1404A">
              <w:rPr>
                <w:b/>
                <w:bCs/>
                <w:lang w:val="en"/>
              </w:rPr>
              <w:t>Standard 8: District-Employed Supervisors</w:t>
            </w:r>
          </w:p>
          <w:p w14:paraId="2F6E24F4" w14:textId="77777777" w:rsidR="0045102F" w:rsidRPr="0084754D" w:rsidRDefault="0084754D" w:rsidP="00B1404A">
            <w:pPr>
              <w:rPr>
                <w:lang w:val="en"/>
              </w:rPr>
            </w:pPr>
            <w:r w:rsidRPr="0084754D">
              <w:rPr>
                <w:lang w:val="en"/>
              </w:rPr>
              <w:t xml:space="preserve">District-employed supervisors are certified and experienced in either teaching the specified content or performing the services authorized by the credential. A process for selecting supervisors who are knowledgeable and supportive of the academic content standards for students is based on identified criteria. Supervisors are trained in supervision, oriented to the supervisory role, </w:t>
            </w:r>
            <w:proofErr w:type="gramStart"/>
            <w:r w:rsidRPr="0084754D">
              <w:rPr>
                <w:lang w:val="en"/>
              </w:rPr>
              <w:t>evaluated</w:t>
            </w:r>
            <w:proofErr w:type="gramEnd"/>
            <w:r w:rsidRPr="0084754D">
              <w:rPr>
                <w:lang w:val="en"/>
              </w:rPr>
              <w:t xml:space="preserve"> and recognized in a systematic manner. </w:t>
            </w:r>
          </w:p>
        </w:tc>
        <w:tc>
          <w:tcPr>
            <w:tcW w:w="8602" w:type="dxa"/>
          </w:tcPr>
          <w:p w14:paraId="2F8C7D5B" w14:textId="77777777" w:rsidR="0045102F" w:rsidRPr="00FA5ACA" w:rsidRDefault="0045102F" w:rsidP="002C2385">
            <w:pPr>
              <w:autoSpaceDE w:val="0"/>
              <w:autoSpaceDN w:val="0"/>
              <w:adjustRightInd w:val="0"/>
            </w:pPr>
          </w:p>
        </w:tc>
      </w:tr>
      <w:tr w:rsidR="0045102F" w:rsidRPr="00FA5ACA" w14:paraId="03EB7548" w14:textId="77777777" w:rsidTr="00233DC5">
        <w:trPr>
          <w:cantSplit/>
        </w:trPr>
        <w:tc>
          <w:tcPr>
            <w:tcW w:w="5006" w:type="dxa"/>
          </w:tcPr>
          <w:p w14:paraId="33297617" w14:textId="77777777" w:rsidR="0084754D" w:rsidRPr="00B1404A" w:rsidRDefault="0084754D" w:rsidP="00B1404A">
            <w:pPr>
              <w:jc w:val="center"/>
              <w:rPr>
                <w:b/>
                <w:bCs/>
                <w:lang w:val="en"/>
              </w:rPr>
            </w:pPr>
            <w:r w:rsidRPr="00B1404A">
              <w:rPr>
                <w:b/>
                <w:bCs/>
                <w:lang w:val="en"/>
              </w:rPr>
              <w:lastRenderedPageBreak/>
              <w:t>Standard 9: Assessment of Candidate Competence</w:t>
            </w:r>
          </w:p>
          <w:p w14:paraId="58A418F6" w14:textId="77777777" w:rsidR="0045102F" w:rsidRPr="0084754D" w:rsidRDefault="0084754D" w:rsidP="00B1404A">
            <w:pPr>
              <w:rPr>
                <w:lang w:val="en"/>
              </w:rPr>
            </w:pPr>
            <w:r w:rsidRPr="0084754D">
              <w:rPr>
                <w:lang w:val="en"/>
              </w:rPr>
              <w:t xml:space="preserve">Candidates preparing to serve as professional school personnel know and demonstrate the professional knowledge and skills necessary to educate and support effectively all students in meeting the state-adopted academic standards. Assessments indicate that candidates meet the Commission-adopted competency requirements, as specified in the program standards. </w:t>
            </w:r>
          </w:p>
        </w:tc>
        <w:tc>
          <w:tcPr>
            <w:tcW w:w="8602" w:type="dxa"/>
          </w:tcPr>
          <w:p w14:paraId="2A5E6F95" w14:textId="77777777" w:rsidR="0045102F" w:rsidRPr="00FA5ACA" w:rsidRDefault="0045102F" w:rsidP="002C2385">
            <w:pPr>
              <w:autoSpaceDE w:val="0"/>
              <w:autoSpaceDN w:val="0"/>
              <w:adjustRightInd w:val="0"/>
            </w:pPr>
          </w:p>
        </w:tc>
      </w:tr>
    </w:tbl>
    <w:p w14:paraId="7AFF0FF0" w14:textId="77777777" w:rsidR="00AA09B0" w:rsidRPr="00627697" w:rsidRDefault="00AA09B0" w:rsidP="002C2385">
      <w:pPr>
        <w:rPr>
          <w:szCs w:val="20"/>
          <w:lang w:bidi="ar-SA"/>
        </w:rPr>
      </w:pPr>
      <w:r w:rsidRPr="00627697">
        <w:rPr>
          <w:szCs w:val="20"/>
          <w:lang w:bidi="ar-SA"/>
        </w:rPr>
        <w:br w:type="page"/>
      </w:r>
    </w:p>
    <w:p w14:paraId="0009A042" w14:textId="77777777" w:rsidR="00C724B0" w:rsidRDefault="00C724B0" w:rsidP="00B1404A">
      <w:pPr>
        <w:spacing w:line="2880" w:lineRule="auto"/>
      </w:pPr>
    </w:p>
    <w:p w14:paraId="0C55A985" w14:textId="77777777" w:rsidR="00AA09B0" w:rsidRPr="00627697" w:rsidRDefault="00380F55" w:rsidP="001577F6">
      <w:pPr>
        <w:pStyle w:val="Heading2"/>
      </w:pPr>
      <w:bookmarkStart w:id="28" w:name="_Toc262297427"/>
      <w:r>
        <w:t>[Name of Credential]</w:t>
      </w:r>
      <w:r w:rsidR="00AA09B0" w:rsidRPr="00627697">
        <w:t xml:space="preserve"> Credential</w:t>
      </w:r>
      <w:r w:rsidR="00741F06" w:rsidRPr="00627697">
        <w:t xml:space="preserve"> </w:t>
      </w:r>
      <w:r w:rsidR="00AA09B0" w:rsidRPr="00627697">
        <w:t>Educator Preparation Program</w:t>
      </w:r>
      <w:bookmarkEnd w:id="28"/>
      <w:r w:rsidR="00C724B0">
        <w:t xml:space="preserve"> </w:t>
      </w:r>
    </w:p>
    <w:p w14:paraId="4D5506DE" w14:textId="77777777" w:rsidR="00C724B0" w:rsidRDefault="00C724B0" w:rsidP="00BB7FE6">
      <w:pPr>
        <w:pStyle w:val="Heading2"/>
        <w:sectPr w:rsidR="00C724B0" w:rsidSect="00627697">
          <w:type w:val="continuous"/>
          <w:pgSz w:w="15840" w:h="12240" w:orient="landscape"/>
          <w:pgMar w:top="1440" w:right="1440" w:bottom="1440" w:left="1440" w:header="720" w:footer="720" w:gutter="0"/>
          <w:cols w:space="720"/>
          <w:titlePg/>
          <w:docGrid w:linePitch="360"/>
        </w:sectPr>
      </w:pPr>
    </w:p>
    <w:p w14:paraId="51F558F2" w14:textId="77777777" w:rsidR="00AA09B0" w:rsidRPr="00627697" w:rsidRDefault="00AA09B0" w:rsidP="001577F6">
      <w:pPr>
        <w:pStyle w:val="Heading3"/>
      </w:pPr>
      <w:bookmarkStart w:id="29" w:name="_Toc262297428"/>
      <w:r w:rsidRPr="00627697">
        <w:lastRenderedPageBreak/>
        <w:t>Category I:  Program Design, Governance, and Qualities</w:t>
      </w:r>
      <w:bookmarkEnd w:id="29"/>
    </w:p>
    <w:p w14:paraId="4C620B90" w14:textId="77777777" w:rsidR="00F94CB5" w:rsidRDefault="00AA09B0" w:rsidP="001577F6">
      <w:pPr>
        <w:pStyle w:val="Heading4"/>
      </w:pPr>
      <w:bookmarkStart w:id="30" w:name="_Standard_I:_"/>
      <w:bookmarkStart w:id="31" w:name="_Toc262297429"/>
      <w:bookmarkEnd w:id="30"/>
      <w:r w:rsidRPr="00C724B0">
        <w:t xml:space="preserve">Standard I:  Program </w:t>
      </w:r>
      <w:r w:rsidRPr="001577F6">
        <w:t>Design</w:t>
      </w:r>
      <w:r w:rsidRPr="00C724B0">
        <w:t xml:space="preserve"> and Rationale</w:t>
      </w:r>
      <w:bookmarkEnd w:id="31"/>
    </w:p>
    <w:p w14:paraId="6862705F" w14:textId="77777777" w:rsidR="0024749C" w:rsidRPr="0024749C" w:rsidRDefault="0024749C" w:rsidP="0024749C">
      <w:pPr>
        <w:spacing w:after="0"/>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0"/>
        <w:gridCol w:w="8988"/>
      </w:tblGrid>
      <w:tr w:rsidR="0045102F" w:rsidRPr="00FA5ACA" w14:paraId="1E564E15" w14:textId="77777777" w:rsidTr="00BB5A08">
        <w:trPr>
          <w:cantSplit/>
          <w:trHeight w:val="490"/>
          <w:tblHeader/>
        </w:trPr>
        <w:tc>
          <w:tcPr>
            <w:tcW w:w="4440" w:type="dxa"/>
          </w:tcPr>
          <w:p w14:paraId="237DDD48" w14:textId="77777777" w:rsidR="0045102F" w:rsidRPr="00B1404A" w:rsidRDefault="0045102F" w:rsidP="00B1404A">
            <w:pPr>
              <w:jc w:val="center"/>
              <w:rPr>
                <w:b/>
                <w:bCs/>
              </w:rPr>
            </w:pPr>
            <w:r w:rsidRPr="00B1404A">
              <w:rPr>
                <w:b/>
                <w:bCs/>
              </w:rPr>
              <w:t>Standard</w:t>
            </w:r>
          </w:p>
        </w:tc>
        <w:tc>
          <w:tcPr>
            <w:tcW w:w="8988" w:type="dxa"/>
          </w:tcPr>
          <w:p w14:paraId="2E9ED4CB" w14:textId="77777777" w:rsidR="0045102F" w:rsidRPr="00FA5ACA" w:rsidRDefault="0045102F" w:rsidP="0045102F">
            <w:pPr>
              <w:spacing w:after="0"/>
              <w:jc w:val="center"/>
              <w:rPr>
                <w:b/>
                <w:color w:val="000000"/>
              </w:rPr>
            </w:pPr>
            <w:r w:rsidRPr="00FA5ACA">
              <w:rPr>
                <w:b/>
                <w:color w:val="000000"/>
              </w:rPr>
              <w:t>Narrative Addressing Standard—hyperlink to supporting documentation</w:t>
            </w:r>
          </w:p>
        </w:tc>
      </w:tr>
      <w:tr w:rsidR="0045102F" w:rsidRPr="00FA5ACA" w14:paraId="37D7162C" w14:textId="77777777" w:rsidTr="001577F6">
        <w:trPr>
          <w:cantSplit/>
          <w:trHeight w:val="2141"/>
        </w:trPr>
        <w:tc>
          <w:tcPr>
            <w:tcW w:w="4440" w:type="dxa"/>
          </w:tcPr>
          <w:p w14:paraId="6FFE4967" w14:textId="77777777" w:rsidR="0045102F" w:rsidRPr="00FA5ACA" w:rsidRDefault="0045102F" w:rsidP="00C724B0">
            <w:r w:rsidRPr="00FA5ACA">
              <w:t>The program of teacher preparation for the CTE Teaching Credential includes a purposeful, developmentally designed sequence of coursework that effectively prepares CTE teachers to successfully teach all students in public education to perform in a competitive workplace.</w:t>
            </w:r>
          </w:p>
        </w:tc>
        <w:tc>
          <w:tcPr>
            <w:tcW w:w="8988" w:type="dxa"/>
          </w:tcPr>
          <w:p w14:paraId="0952E317" w14:textId="77777777" w:rsidR="0045102F" w:rsidRPr="00A92736" w:rsidRDefault="0084754D" w:rsidP="00265D72">
            <w:pPr>
              <w:rPr>
                <w:color w:val="4472C4" w:themeColor="accent1"/>
              </w:rPr>
            </w:pPr>
            <w:r w:rsidRPr="00A92736">
              <w:rPr>
                <w:color w:val="4472C4" w:themeColor="accent1"/>
              </w:rPr>
              <w:t xml:space="preserve">[Describe how you meet each </w:t>
            </w:r>
            <w:r w:rsidR="0045102F" w:rsidRPr="00A92736">
              <w:rPr>
                <w:color w:val="4472C4" w:themeColor="accent1"/>
              </w:rPr>
              <w:t>standard here]</w:t>
            </w:r>
          </w:p>
          <w:p w14:paraId="4BDEA7C5" w14:textId="77777777" w:rsidR="0045102F" w:rsidRPr="00FA5ACA" w:rsidRDefault="0045102F" w:rsidP="00265D72"/>
        </w:tc>
      </w:tr>
      <w:tr w:rsidR="0045102F" w:rsidRPr="00FA5ACA" w14:paraId="6706DF77" w14:textId="77777777" w:rsidTr="001577F6">
        <w:trPr>
          <w:cantSplit/>
        </w:trPr>
        <w:tc>
          <w:tcPr>
            <w:tcW w:w="4440" w:type="dxa"/>
          </w:tcPr>
          <w:p w14:paraId="517A5526" w14:textId="77777777" w:rsidR="0045102F" w:rsidRPr="00FA5ACA" w:rsidRDefault="0045102F" w:rsidP="002C2385">
            <w:r w:rsidRPr="00FA5ACA">
              <w:t>The program consists of 9 semester (13.5 quarter) units of approved program course work or 135 hours of approved professional preparation through a local education agency.</w:t>
            </w:r>
          </w:p>
        </w:tc>
        <w:tc>
          <w:tcPr>
            <w:tcW w:w="8988" w:type="dxa"/>
          </w:tcPr>
          <w:p w14:paraId="5D21715D" w14:textId="77777777" w:rsidR="0045102F" w:rsidRPr="00FA5ACA" w:rsidRDefault="0045102F" w:rsidP="009367D2"/>
        </w:tc>
      </w:tr>
      <w:tr w:rsidR="0045102F" w:rsidRPr="00FA5ACA" w14:paraId="1C0964A7" w14:textId="77777777" w:rsidTr="001577F6">
        <w:trPr>
          <w:cantSplit/>
        </w:trPr>
        <w:tc>
          <w:tcPr>
            <w:tcW w:w="4440" w:type="dxa"/>
          </w:tcPr>
          <w:p w14:paraId="0DB7BA8A" w14:textId="77777777" w:rsidR="0045102F" w:rsidRPr="00FA5ACA" w:rsidRDefault="0045102F" w:rsidP="002C2385">
            <w:r w:rsidRPr="00FA5ACA">
              <w:t>The program is based on a clearly stated rationale that has a sound theoretical and practical foundation anchored to the knowledge base of teacher education.</w:t>
            </w:r>
          </w:p>
        </w:tc>
        <w:tc>
          <w:tcPr>
            <w:tcW w:w="8988" w:type="dxa"/>
          </w:tcPr>
          <w:p w14:paraId="5C7BFF98" w14:textId="77777777" w:rsidR="0045102F" w:rsidRPr="00FA5ACA" w:rsidRDefault="0045102F" w:rsidP="002C2385"/>
        </w:tc>
      </w:tr>
      <w:tr w:rsidR="0045102F" w:rsidRPr="00FA5ACA" w14:paraId="0690901A" w14:textId="77777777" w:rsidTr="001577F6">
        <w:trPr>
          <w:cantSplit/>
        </w:trPr>
        <w:tc>
          <w:tcPr>
            <w:tcW w:w="4440" w:type="dxa"/>
          </w:tcPr>
          <w:p w14:paraId="2F672CDE" w14:textId="77777777" w:rsidR="0045102F" w:rsidRPr="00FA5ACA" w:rsidRDefault="0045102F" w:rsidP="002C2385">
            <w:r w:rsidRPr="00FA5ACA">
              <w:br w:type="page"/>
              <w:t>The program is aligned to the state-adopted K-12 CTE curriculum standards and framework and bases CTE teachers’ competence on California’s Teaching Performance Expectations (TPEs).</w:t>
            </w:r>
          </w:p>
        </w:tc>
        <w:tc>
          <w:tcPr>
            <w:tcW w:w="8988" w:type="dxa"/>
          </w:tcPr>
          <w:p w14:paraId="2430FE17" w14:textId="77777777" w:rsidR="0045102F" w:rsidRPr="00FA5ACA" w:rsidRDefault="0045102F" w:rsidP="002C2385"/>
        </w:tc>
      </w:tr>
    </w:tbl>
    <w:p w14:paraId="72F4DD74" w14:textId="77777777" w:rsidR="00AA09B0" w:rsidRPr="00627697" w:rsidRDefault="00AA09B0" w:rsidP="002C2385">
      <w:pPr>
        <w:rPr>
          <w:szCs w:val="20"/>
          <w:lang w:bidi="ar-SA"/>
        </w:rPr>
      </w:pPr>
      <w:r w:rsidRPr="00627697">
        <w:rPr>
          <w:szCs w:val="20"/>
          <w:lang w:bidi="ar-SA"/>
        </w:rPr>
        <w:br w:type="page"/>
      </w:r>
    </w:p>
    <w:p w14:paraId="36E0AB32" w14:textId="1521F5FE" w:rsidR="00AA09B0" w:rsidRDefault="00AA09B0" w:rsidP="007308DB">
      <w:pPr>
        <w:pStyle w:val="Heading4"/>
      </w:pPr>
      <w:bookmarkStart w:id="32" w:name="_Toc262297430"/>
      <w:r w:rsidRPr="009E5AA2">
        <w:lastRenderedPageBreak/>
        <w:t>Standard 2: Equity, Diversity and Access to the Curriculum for All Students</w:t>
      </w:r>
      <w:bookmarkEnd w:id="32"/>
    </w:p>
    <w:p w14:paraId="52E6CC04" w14:textId="77777777" w:rsidR="007308DB" w:rsidRPr="007308DB" w:rsidRDefault="007308DB" w:rsidP="007308DB">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9"/>
        <w:gridCol w:w="8551"/>
      </w:tblGrid>
      <w:tr w:rsidR="00AB77DF" w:rsidRPr="00FA5ACA" w14:paraId="2FA31DCE" w14:textId="77777777" w:rsidTr="00BB5A08">
        <w:trPr>
          <w:cantSplit/>
          <w:trHeight w:val="494"/>
          <w:tblHeader/>
        </w:trPr>
        <w:tc>
          <w:tcPr>
            <w:tcW w:w="4399" w:type="dxa"/>
          </w:tcPr>
          <w:p w14:paraId="641460F9" w14:textId="77777777" w:rsidR="00AB77DF" w:rsidRPr="001F4F64" w:rsidRDefault="00AB77DF" w:rsidP="001F4F64">
            <w:pPr>
              <w:jc w:val="center"/>
              <w:rPr>
                <w:b/>
                <w:bCs/>
              </w:rPr>
            </w:pPr>
            <w:r w:rsidRPr="001F4F64">
              <w:rPr>
                <w:b/>
                <w:bCs/>
              </w:rPr>
              <w:t>Standard</w:t>
            </w:r>
          </w:p>
        </w:tc>
        <w:tc>
          <w:tcPr>
            <w:tcW w:w="8551" w:type="dxa"/>
          </w:tcPr>
          <w:p w14:paraId="7CD9190E" w14:textId="77777777" w:rsidR="00AB77DF" w:rsidRPr="001F4F64" w:rsidRDefault="00AB77DF" w:rsidP="001F4F64">
            <w:pPr>
              <w:jc w:val="center"/>
              <w:rPr>
                <w:b/>
                <w:bCs/>
                <w:color w:val="000000"/>
              </w:rPr>
            </w:pPr>
            <w:r w:rsidRPr="001F4F64">
              <w:rPr>
                <w:b/>
                <w:bCs/>
                <w:color w:val="000000"/>
              </w:rPr>
              <w:t>Narrative Addressing Standard—hyperlink to supporting documentation</w:t>
            </w:r>
          </w:p>
        </w:tc>
      </w:tr>
      <w:tr w:rsidR="00AB77DF" w:rsidRPr="00FA5ACA" w14:paraId="78367053" w14:textId="77777777" w:rsidTr="00BB5A08">
        <w:trPr>
          <w:cantSplit/>
        </w:trPr>
        <w:tc>
          <w:tcPr>
            <w:tcW w:w="4399" w:type="dxa"/>
          </w:tcPr>
          <w:p w14:paraId="1FBB3B15" w14:textId="77CA81F1" w:rsidR="00AB77DF" w:rsidRPr="00FA5ACA" w:rsidRDefault="00AB77DF" w:rsidP="001F4F64">
            <w:r w:rsidRPr="00FA5ACA">
              <w:t>Each beginning CTE teacher in the professional teacher preparation program examines the protections of California laws for educational equity and diversity and their relevance in curriculum content and school practices for all students.</w:t>
            </w:r>
          </w:p>
        </w:tc>
        <w:tc>
          <w:tcPr>
            <w:tcW w:w="8551" w:type="dxa"/>
          </w:tcPr>
          <w:p w14:paraId="6CD666E6" w14:textId="77777777" w:rsidR="00AB77DF" w:rsidRPr="00FA5ACA" w:rsidRDefault="00AB77DF" w:rsidP="002C2385"/>
        </w:tc>
      </w:tr>
      <w:tr w:rsidR="00AB77DF" w:rsidRPr="00FA5ACA" w14:paraId="5DAB1828" w14:textId="77777777" w:rsidTr="00BB5A08">
        <w:trPr>
          <w:cantSplit/>
        </w:trPr>
        <w:tc>
          <w:tcPr>
            <w:tcW w:w="4399" w:type="dxa"/>
          </w:tcPr>
          <w:p w14:paraId="5B801A36" w14:textId="77777777" w:rsidR="00AB77DF" w:rsidRPr="00FA5ACA" w:rsidRDefault="00AB77DF" w:rsidP="001F4F64">
            <w:r w:rsidRPr="00FA5ACA">
              <w:t xml:space="preserve">The program prepares CTE teachers to provide all students with equitable access to the program’s curriculum.  CTE teachers in the program learn about the ways in which teaching practices and student learning are impacted by diversity in California, including socioeconomic status. </w:t>
            </w:r>
          </w:p>
        </w:tc>
        <w:tc>
          <w:tcPr>
            <w:tcW w:w="8551" w:type="dxa"/>
          </w:tcPr>
          <w:p w14:paraId="5C7A5F69" w14:textId="77777777" w:rsidR="00AB77DF" w:rsidRPr="00FA5ACA" w:rsidRDefault="00AB77DF" w:rsidP="002C2385"/>
        </w:tc>
      </w:tr>
      <w:tr w:rsidR="00AB77DF" w:rsidRPr="00FA5ACA" w14:paraId="1976264B" w14:textId="77777777" w:rsidTr="00BB5A08">
        <w:trPr>
          <w:cantSplit/>
        </w:trPr>
        <w:tc>
          <w:tcPr>
            <w:tcW w:w="4399" w:type="dxa"/>
          </w:tcPr>
          <w:p w14:paraId="07CAAEA5" w14:textId="77777777" w:rsidR="00AB77DF" w:rsidRPr="00FA5ACA" w:rsidRDefault="00AB77DF" w:rsidP="001F4F64">
            <w:r w:rsidRPr="00FA5ACA">
              <w:t>CTE teachers learn to identify, analyze, and minimize personal and institutional bias.</w:t>
            </w:r>
          </w:p>
        </w:tc>
        <w:tc>
          <w:tcPr>
            <w:tcW w:w="8551" w:type="dxa"/>
          </w:tcPr>
          <w:p w14:paraId="059AA9F1" w14:textId="77777777" w:rsidR="00AB77DF" w:rsidRPr="00FA5ACA" w:rsidRDefault="00AB77DF" w:rsidP="002C2385"/>
        </w:tc>
      </w:tr>
    </w:tbl>
    <w:p w14:paraId="64A7D75F" w14:textId="77777777" w:rsidR="00AA09B0" w:rsidRPr="00627697" w:rsidRDefault="00AA09B0" w:rsidP="00A92736"/>
    <w:p w14:paraId="15FE4655" w14:textId="6A0C7199" w:rsidR="00AA09B0" w:rsidRDefault="00AA09B0" w:rsidP="00960947">
      <w:pPr>
        <w:pStyle w:val="Heading4"/>
      </w:pPr>
      <w:r w:rsidRPr="00627697">
        <w:rPr>
          <w:lang w:bidi="ar-SA"/>
        </w:rPr>
        <w:br w:type="page"/>
      </w:r>
      <w:bookmarkStart w:id="33" w:name="_Toc262297431"/>
      <w:r w:rsidRPr="00A92736">
        <w:lastRenderedPageBreak/>
        <w:t>Standard 3: Early Orientation</w:t>
      </w:r>
      <w:bookmarkEnd w:id="33"/>
    </w:p>
    <w:p w14:paraId="7A6EEEF1" w14:textId="77777777" w:rsidR="00B1404A" w:rsidRPr="00B1404A" w:rsidRDefault="00B1404A" w:rsidP="0096094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8192"/>
      </w:tblGrid>
      <w:tr w:rsidR="00AB77DF" w:rsidRPr="00FA5ACA" w14:paraId="5B583B22" w14:textId="77777777" w:rsidTr="00BB5A08">
        <w:trPr>
          <w:cantSplit/>
          <w:trHeight w:val="490"/>
          <w:tblHeader/>
        </w:trPr>
        <w:tc>
          <w:tcPr>
            <w:tcW w:w="4426" w:type="dxa"/>
          </w:tcPr>
          <w:p w14:paraId="56DCF728" w14:textId="77777777" w:rsidR="00AB77DF" w:rsidRPr="00960947" w:rsidRDefault="00AB77DF" w:rsidP="00960947">
            <w:pPr>
              <w:jc w:val="center"/>
              <w:rPr>
                <w:b/>
                <w:bCs/>
              </w:rPr>
            </w:pPr>
            <w:r w:rsidRPr="00960947">
              <w:rPr>
                <w:b/>
                <w:bCs/>
              </w:rPr>
              <w:t>Standard</w:t>
            </w:r>
          </w:p>
        </w:tc>
        <w:tc>
          <w:tcPr>
            <w:tcW w:w="8192" w:type="dxa"/>
          </w:tcPr>
          <w:p w14:paraId="76028FEC" w14:textId="77777777" w:rsidR="00AB77DF" w:rsidRPr="00960947" w:rsidRDefault="00AB77DF" w:rsidP="00960947">
            <w:pPr>
              <w:jc w:val="center"/>
              <w:rPr>
                <w:b/>
                <w:bCs/>
                <w:color w:val="000000"/>
              </w:rPr>
            </w:pPr>
            <w:r w:rsidRPr="00960947">
              <w:rPr>
                <w:b/>
                <w:bCs/>
                <w:color w:val="000000"/>
              </w:rPr>
              <w:t>Narrative Addressing Standard—hyperlink to supporting documentation</w:t>
            </w:r>
          </w:p>
        </w:tc>
      </w:tr>
      <w:tr w:rsidR="00AB77DF" w:rsidRPr="00FA5ACA" w14:paraId="54332548" w14:textId="77777777" w:rsidTr="00BB5A08">
        <w:trPr>
          <w:cantSplit/>
        </w:trPr>
        <w:tc>
          <w:tcPr>
            <w:tcW w:w="4426" w:type="dxa"/>
          </w:tcPr>
          <w:p w14:paraId="62E15E7E" w14:textId="77777777" w:rsidR="00AB77DF" w:rsidRPr="00FA5ACA" w:rsidRDefault="00AB77DF" w:rsidP="00960947">
            <w:r w:rsidRPr="00FA5ACA">
              <w:t xml:space="preserve">Early orientation is designed to meet the needs of beginning teachers. The program sponsor collaborates with the employer in providing an early orientation before or during the first month of teaching that includes the introductory skills, knowledge, and attitudes required for beginning CTE teaching success.  </w:t>
            </w:r>
          </w:p>
        </w:tc>
        <w:tc>
          <w:tcPr>
            <w:tcW w:w="8192" w:type="dxa"/>
          </w:tcPr>
          <w:p w14:paraId="7AF2EB20" w14:textId="77777777" w:rsidR="00AB77DF" w:rsidRPr="00FA5ACA" w:rsidRDefault="00AB77DF" w:rsidP="002C2385">
            <w:pPr>
              <w:tabs>
                <w:tab w:val="left" w:pos="360"/>
                <w:tab w:val="left" w:pos="720"/>
                <w:tab w:val="right" w:pos="1620"/>
                <w:tab w:val="left" w:pos="1800"/>
                <w:tab w:val="left" w:pos="2160"/>
                <w:tab w:val="right" w:leader="dot" w:pos="9360"/>
              </w:tabs>
            </w:pPr>
          </w:p>
        </w:tc>
      </w:tr>
      <w:tr w:rsidR="00AB77DF" w:rsidRPr="00FA5ACA" w14:paraId="2B95ECA1" w14:textId="77777777" w:rsidTr="00BB5A08">
        <w:trPr>
          <w:cantSplit/>
        </w:trPr>
        <w:tc>
          <w:tcPr>
            <w:tcW w:w="4426" w:type="dxa"/>
          </w:tcPr>
          <w:p w14:paraId="492A2255" w14:textId="77777777" w:rsidR="00AB77DF" w:rsidRPr="00FA5ACA" w:rsidRDefault="00AB77DF" w:rsidP="00960947">
            <w:r w:rsidRPr="00FA5ACA">
              <w:t xml:space="preserve">These competencies will be further developed in a sequenced and scaffolded structure that includes teaching methods, learning styles, lesson planning, </w:t>
            </w:r>
          </w:p>
        </w:tc>
        <w:tc>
          <w:tcPr>
            <w:tcW w:w="8192" w:type="dxa"/>
          </w:tcPr>
          <w:p w14:paraId="7073F549" w14:textId="77777777" w:rsidR="00AB77DF" w:rsidRPr="00FA5ACA" w:rsidRDefault="00AB77DF" w:rsidP="002C2385"/>
        </w:tc>
      </w:tr>
      <w:tr w:rsidR="00AB77DF" w:rsidRPr="00FA5ACA" w14:paraId="4A6F9851" w14:textId="77777777" w:rsidTr="00BB5A08">
        <w:trPr>
          <w:cantSplit/>
        </w:trPr>
        <w:tc>
          <w:tcPr>
            <w:tcW w:w="4426" w:type="dxa"/>
          </w:tcPr>
          <w:p w14:paraId="31A3A0C0" w14:textId="77777777" w:rsidR="00AB77DF" w:rsidRPr="00FA5ACA" w:rsidRDefault="00AB77DF" w:rsidP="00960947">
            <w:r w:rsidRPr="00FA5ACA">
              <w:t xml:space="preserve">CTE concepts, equity and diversity in the classroom, mandated reporting, and legal and ethical issues. </w:t>
            </w:r>
          </w:p>
        </w:tc>
        <w:tc>
          <w:tcPr>
            <w:tcW w:w="8192" w:type="dxa"/>
          </w:tcPr>
          <w:p w14:paraId="6D5AAB6E" w14:textId="77777777" w:rsidR="00AB77DF" w:rsidRPr="00FA5ACA" w:rsidRDefault="00AB77DF" w:rsidP="002C2385"/>
        </w:tc>
      </w:tr>
    </w:tbl>
    <w:p w14:paraId="363330EB" w14:textId="77777777" w:rsidR="00AA09B0" w:rsidRPr="00627697" w:rsidRDefault="00AA09B0" w:rsidP="002C2385">
      <w:pPr>
        <w:rPr>
          <w:szCs w:val="20"/>
          <w:lang w:bidi="ar-SA"/>
        </w:rPr>
      </w:pPr>
      <w:r w:rsidRPr="00627697">
        <w:rPr>
          <w:szCs w:val="20"/>
          <w:lang w:bidi="ar-SA"/>
        </w:rPr>
        <w:br w:type="page"/>
      </w:r>
    </w:p>
    <w:p w14:paraId="64E88AE0" w14:textId="716F76AF" w:rsidR="00AA09B0" w:rsidRDefault="00AA09B0" w:rsidP="00960947">
      <w:pPr>
        <w:pStyle w:val="Heading4"/>
      </w:pPr>
      <w:bookmarkStart w:id="34" w:name="_Toc262297432"/>
      <w:r w:rsidRPr="00627697">
        <w:lastRenderedPageBreak/>
        <w:t>Standard 4: Collaboration with Local Educators</w:t>
      </w:r>
      <w:bookmarkEnd w:id="34"/>
    </w:p>
    <w:p w14:paraId="5C2919B9" w14:textId="77777777" w:rsidR="00960947" w:rsidRPr="00960947" w:rsidRDefault="00960947" w:rsidP="00960947">
      <w:pPr>
        <w:spacing w:after="0" w:line="240" w:lineRule="auto"/>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8907"/>
      </w:tblGrid>
      <w:tr w:rsidR="00AB77DF" w:rsidRPr="00FA5ACA" w14:paraId="24A05BD0" w14:textId="77777777" w:rsidTr="00960947">
        <w:trPr>
          <w:cantSplit/>
          <w:trHeight w:val="490"/>
          <w:tblHeader/>
        </w:trPr>
        <w:tc>
          <w:tcPr>
            <w:tcW w:w="4431" w:type="dxa"/>
          </w:tcPr>
          <w:p w14:paraId="4824959B" w14:textId="77777777" w:rsidR="00AB77DF" w:rsidRPr="00960947" w:rsidRDefault="00AB77DF" w:rsidP="00960947">
            <w:pPr>
              <w:jc w:val="center"/>
              <w:rPr>
                <w:b/>
                <w:bCs/>
              </w:rPr>
            </w:pPr>
            <w:r w:rsidRPr="00960947">
              <w:rPr>
                <w:b/>
                <w:bCs/>
              </w:rPr>
              <w:t>Standard</w:t>
            </w:r>
          </w:p>
        </w:tc>
        <w:tc>
          <w:tcPr>
            <w:tcW w:w="8907" w:type="dxa"/>
          </w:tcPr>
          <w:p w14:paraId="3E8C3A2B" w14:textId="77777777" w:rsidR="00AB77DF" w:rsidRPr="00960947" w:rsidRDefault="00AB77DF" w:rsidP="00960947">
            <w:pPr>
              <w:jc w:val="center"/>
              <w:rPr>
                <w:b/>
                <w:bCs/>
                <w:color w:val="000000"/>
              </w:rPr>
            </w:pPr>
            <w:r w:rsidRPr="00960947">
              <w:rPr>
                <w:b/>
                <w:bCs/>
                <w:color w:val="000000"/>
              </w:rPr>
              <w:t>Narrative Addressing Standard—hyperlink to supporting documentation</w:t>
            </w:r>
          </w:p>
        </w:tc>
      </w:tr>
      <w:tr w:rsidR="00AB77DF" w:rsidRPr="00FA5ACA" w14:paraId="1E065A72" w14:textId="77777777" w:rsidTr="00960947">
        <w:trPr>
          <w:cantSplit/>
        </w:trPr>
        <w:tc>
          <w:tcPr>
            <w:tcW w:w="4431" w:type="dxa"/>
          </w:tcPr>
          <w:p w14:paraId="36EF0C63" w14:textId="77777777" w:rsidR="00AB77DF" w:rsidRPr="00FA5ACA" w:rsidRDefault="00AB77DF" w:rsidP="00960947">
            <w:r w:rsidRPr="00FA5ACA">
              <w:t xml:space="preserve">The program sponsor collaborates with the employer in the implementation of the preparation program for CTE teachers, including the selection of supervisors and/or support teachers. </w:t>
            </w:r>
          </w:p>
        </w:tc>
        <w:tc>
          <w:tcPr>
            <w:tcW w:w="8907" w:type="dxa"/>
          </w:tcPr>
          <w:p w14:paraId="0BBAF2EE" w14:textId="77777777" w:rsidR="00AB77DF" w:rsidRPr="00FA5ACA" w:rsidRDefault="00AB77DF" w:rsidP="002C2385"/>
        </w:tc>
      </w:tr>
      <w:tr w:rsidR="00AB77DF" w:rsidRPr="00FA5ACA" w14:paraId="0DF18560" w14:textId="77777777" w:rsidTr="00960947">
        <w:trPr>
          <w:cantSplit/>
        </w:trPr>
        <w:tc>
          <w:tcPr>
            <w:tcW w:w="4431" w:type="dxa"/>
          </w:tcPr>
          <w:p w14:paraId="74C893EA" w14:textId="77777777" w:rsidR="00AB77DF" w:rsidRPr="00FA5ACA" w:rsidRDefault="00AB77DF" w:rsidP="00960947">
            <w:pPr>
              <w:rPr>
                <w:bCs/>
              </w:rPr>
            </w:pPr>
            <w:r w:rsidRPr="00FA5ACA">
              <w:rPr>
                <w:bCs/>
              </w:rPr>
              <w:t xml:space="preserve">The </w:t>
            </w:r>
            <w:r w:rsidRPr="00FA5ACA">
              <w:t>cooperative relationship between the program sponsor</w:t>
            </w:r>
            <w:r w:rsidRPr="00FA5ACA">
              <w:rPr>
                <w:bCs/>
              </w:rPr>
              <w:t xml:space="preserve"> </w:t>
            </w:r>
            <w:r w:rsidRPr="00FA5ACA">
              <w:t>and local school administrators and teachers sets up a system of support and supervision that provides the beginning CTE teacher with the opportunity to develop all the necessary components of successful teaching.</w:t>
            </w:r>
          </w:p>
        </w:tc>
        <w:tc>
          <w:tcPr>
            <w:tcW w:w="8907" w:type="dxa"/>
          </w:tcPr>
          <w:p w14:paraId="4DDF634E" w14:textId="77777777" w:rsidR="00AB77DF" w:rsidRPr="00FA5ACA" w:rsidRDefault="00AB77DF" w:rsidP="002C2385"/>
        </w:tc>
      </w:tr>
    </w:tbl>
    <w:p w14:paraId="059665C8" w14:textId="77777777" w:rsidR="00AA09B0" w:rsidRPr="00627697" w:rsidRDefault="00AA09B0" w:rsidP="002C2385">
      <w:pPr>
        <w:rPr>
          <w:szCs w:val="20"/>
          <w:lang w:bidi="ar-SA"/>
        </w:rPr>
      </w:pPr>
      <w:r w:rsidRPr="00627697">
        <w:rPr>
          <w:szCs w:val="20"/>
          <w:lang w:bidi="ar-SA"/>
        </w:rPr>
        <w:br w:type="page"/>
      </w:r>
    </w:p>
    <w:p w14:paraId="75CB5C14" w14:textId="3E009DA8" w:rsidR="00AA09B0" w:rsidRDefault="00AA09B0" w:rsidP="00F832AA">
      <w:pPr>
        <w:pStyle w:val="Heading4"/>
      </w:pPr>
      <w:bookmarkStart w:id="35" w:name="_Toc262297433"/>
      <w:r w:rsidRPr="00627697">
        <w:lastRenderedPageBreak/>
        <w:t xml:space="preserve">Standard 5: Initial Teacher Support and </w:t>
      </w:r>
      <w:r w:rsidRPr="00F737FF">
        <w:t>Advisement</w:t>
      </w:r>
      <w:bookmarkEnd w:id="35"/>
    </w:p>
    <w:p w14:paraId="38ACFE7D" w14:textId="77777777" w:rsidR="00F832AA" w:rsidRPr="00F832AA" w:rsidRDefault="00F832AA" w:rsidP="00F832AA">
      <w:pPr>
        <w:spacing w:after="0" w:line="240" w:lineRule="auto"/>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8738"/>
      </w:tblGrid>
      <w:tr w:rsidR="00AB77DF" w:rsidRPr="00FA5ACA" w14:paraId="30C23A6D" w14:textId="77777777" w:rsidTr="00D014B9">
        <w:trPr>
          <w:cantSplit/>
          <w:trHeight w:val="490"/>
          <w:tblHeader/>
        </w:trPr>
        <w:tc>
          <w:tcPr>
            <w:tcW w:w="4420" w:type="dxa"/>
          </w:tcPr>
          <w:p w14:paraId="159874D6" w14:textId="77777777" w:rsidR="00AB77DF" w:rsidRPr="00FA5ACA" w:rsidRDefault="00AB77DF" w:rsidP="000E46A0">
            <w:pPr>
              <w:pStyle w:val="Heading3"/>
              <w:spacing w:before="0" w:line="240" w:lineRule="auto"/>
            </w:pPr>
            <w:r w:rsidRPr="00FA5ACA">
              <w:t>Standard</w:t>
            </w:r>
          </w:p>
        </w:tc>
        <w:tc>
          <w:tcPr>
            <w:tcW w:w="8738" w:type="dxa"/>
          </w:tcPr>
          <w:p w14:paraId="14C6FC1A" w14:textId="77777777" w:rsidR="00AB77DF" w:rsidRPr="00FA5ACA" w:rsidRDefault="00AB77DF" w:rsidP="00AB77DF">
            <w:pPr>
              <w:spacing w:after="0"/>
              <w:jc w:val="center"/>
              <w:rPr>
                <w:b/>
                <w:color w:val="000000"/>
              </w:rPr>
            </w:pPr>
            <w:r w:rsidRPr="00FA5ACA">
              <w:rPr>
                <w:b/>
                <w:color w:val="000000"/>
              </w:rPr>
              <w:t>Narrative Addressing Standard—hyperlink to supporting documentation</w:t>
            </w:r>
          </w:p>
        </w:tc>
      </w:tr>
      <w:tr w:rsidR="00AB77DF" w:rsidRPr="00FA5ACA" w14:paraId="27E23E68" w14:textId="77777777" w:rsidTr="00D014B9">
        <w:trPr>
          <w:cantSplit/>
        </w:trPr>
        <w:tc>
          <w:tcPr>
            <w:tcW w:w="4420" w:type="dxa"/>
          </w:tcPr>
          <w:p w14:paraId="26483E4B" w14:textId="77777777" w:rsidR="00AB77DF" w:rsidRPr="00FA5ACA" w:rsidRDefault="00AB77DF" w:rsidP="00F832AA">
            <w:r w:rsidRPr="00FA5ACA">
              <w:t xml:space="preserve">Throughout the period of the preliminary credential, CTE teachers’ performance is guided, assisted, and evaluated in relation to each standard in Category II through supervision and support. </w:t>
            </w:r>
          </w:p>
        </w:tc>
        <w:tc>
          <w:tcPr>
            <w:tcW w:w="8738" w:type="dxa"/>
          </w:tcPr>
          <w:p w14:paraId="3C8A7CCB" w14:textId="77777777" w:rsidR="00AB77DF" w:rsidRPr="00FA5ACA" w:rsidRDefault="00AB77DF" w:rsidP="002C2385"/>
        </w:tc>
      </w:tr>
      <w:tr w:rsidR="00AB77DF" w:rsidRPr="00FA5ACA" w14:paraId="67A7CF9F" w14:textId="77777777" w:rsidTr="00D014B9">
        <w:trPr>
          <w:cantSplit/>
        </w:trPr>
        <w:tc>
          <w:tcPr>
            <w:tcW w:w="4420" w:type="dxa"/>
          </w:tcPr>
          <w:p w14:paraId="2D80DA46" w14:textId="77777777" w:rsidR="00AB77DF" w:rsidRPr="00FA5ACA" w:rsidRDefault="00AB77DF" w:rsidP="00F832AA">
            <w:r w:rsidRPr="00FA5ACA">
              <w:t xml:space="preserve">The program provides complete, accurate, and timely feedback to the CTE teachers, including information about their progress toward competence. </w:t>
            </w:r>
          </w:p>
        </w:tc>
        <w:tc>
          <w:tcPr>
            <w:tcW w:w="8738" w:type="dxa"/>
          </w:tcPr>
          <w:p w14:paraId="434275A3" w14:textId="77777777" w:rsidR="00AB77DF" w:rsidRPr="00FA5ACA" w:rsidRDefault="00AB77DF" w:rsidP="002C2385"/>
        </w:tc>
      </w:tr>
      <w:tr w:rsidR="00AB77DF" w:rsidRPr="00FA5ACA" w14:paraId="4964B85A" w14:textId="77777777" w:rsidTr="00D014B9">
        <w:trPr>
          <w:cantSplit/>
        </w:trPr>
        <w:tc>
          <w:tcPr>
            <w:tcW w:w="4420" w:type="dxa"/>
          </w:tcPr>
          <w:p w14:paraId="2BD4E5B3" w14:textId="77777777" w:rsidR="00AB77DF" w:rsidRPr="00FA5ACA" w:rsidRDefault="00AB77DF" w:rsidP="00F832AA">
            <w:r w:rsidRPr="00FA5ACA">
              <w:t>Supervisors and support providers of CTE teachers are (a) certificated and experienced in teaching; (b) trained in supervision and support of beginning teachers; and (c) evaluated for their service to new teachers.</w:t>
            </w:r>
          </w:p>
        </w:tc>
        <w:tc>
          <w:tcPr>
            <w:tcW w:w="8738" w:type="dxa"/>
          </w:tcPr>
          <w:p w14:paraId="217CBCD3" w14:textId="77777777" w:rsidR="00AB77DF" w:rsidRPr="00FA5ACA" w:rsidRDefault="00AB77DF" w:rsidP="002C2385"/>
        </w:tc>
      </w:tr>
    </w:tbl>
    <w:p w14:paraId="38013C66" w14:textId="77777777" w:rsidR="0024749C" w:rsidRDefault="0024749C" w:rsidP="00A92736"/>
    <w:p w14:paraId="2276D785" w14:textId="77777777" w:rsidR="0024749C" w:rsidRDefault="0024749C" w:rsidP="0024749C">
      <w:pPr>
        <w:rPr>
          <w:rFonts w:ascii="Arial" w:hAnsi="Arial"/>
        </w:rPr>
      </w:pPr>
      <w:r>
        <w:br w:type="page"/>
      </w:r>
    </w:p>
    <w:p w14:paraId="4436C137" w14:textId="55A99DD4" w:rsidR="00AA09B0" w:rsidRDefault="00AA09B0" w:rsidP="00D014B9">
      <w:pPr>
        <w:pStyle w:val="Heading4"/>
      </w:pPr>
      <w:bookmarkStart w:id="36" w:name="_Toc262297434"/>
      <w:r w:rsidRPr="00627697">
        <w:lastRenderedPageBreak/>
        <w:t>Standard 6: Determination of CTE Teacher Competence</w:t>
      </w:r>
      <w:bookmarkEnd w:id="36"/>
    </w:p>
    <w:p w14:paraId="6718BB2F" w14:textId="77777777" w:rsidR="00D014B9" w:rsidRPr="00D014B9" w:rsidRDefault="00D014B9" w:rsidP="00D014B9">
      <w:pPr>
        <w:spacing w:after="0" w:line="240" w:lineRule="auto"/>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3"/>
        <w:gridCol w:w="8995"/>
      </w:tblGrid>
      <w:tr w:rsidR="00AB77DF" w:rsidRPr="00FA5ACA" w14:paraId="50A4FF87" w14:textId="77777777" w:rsidTr="00D014B9">
        <w:trPr>
          <w:cantSplit/>
          <w:trHeight w:val="490"/>
          <w:tblHeader/>
        </w:trPr>
        <w:tc>
          <w:tcPr>
            <w:tcW w:w="4433" w:type="dxa"/>
          </w:tcPr>
          <w:p w14:paraId="039F21CB" w14:textId="77777777" w:rsidR="00AB77DF" w:rsidRPr="00FA5ACA" w:rsidRDefault="00AB77DF" w:rsidP="00F3583A">
            <w:pPr>
              <w:pStyle w:val="Heading3"/>
              <w:spacing w:before="0" w:line="240" w:lineRule="auto"/>
            </w:pPr>
            <w:r w:rsidRPr="00FA5ACA">
              <w:t>Standard</w:t>
            </w:r>
          </w:p>
        </w:tc>
        <w:tc>
          <w:tcPr>
            <w:tcW w:w="8995" w:type="dxa"/>
          </w:tcPr>
          <w:p w14:paraId="0AE00ED0" w14:textId="77777777" w:rsidR="00AB77DF" w:rsidRPr="00FA5ACA" w:rsidRDefault="00AB77DF" w:rsidP="00AB77DF">
            <w:pPr>
              <w:spacing w:after="0"/>
              <w:jc w:val="center"/>
              <w:rPr>
                <w:b/>
                <w:color w:val="000000"/>
              </w:rPr>
            </w:pPr>
            <w:r w:rsidRPr="00FA5ACA">
              <w:rPr>
                <w:b/>
                <w:color w:val="000000"/>
              </w:rPr>
              <w:t>Narrative Addressing Standard—hyperlink to supporting documentation</w:t>
            </w:r>
          </w:p>
        </w:tc>
      </w:tr>
      <w:tr w:rsidR="00AB77DF" w:rsidRPr="00FA5ACA" w14:paraId="05CFB130" w14:textId="77777777" w:rsidTr="00D014B9">
        <w:trPr>
          <w:cantSplit/>
        </w:trPr>
        <w:tc>
          <w:tcPr>
            <w:tcW w:w="4433" w:type="dxa"/>
          </w:tcPr>
          <w:p w14:paraId="64EBC032" w14:textId="77777777" w:rsidR="00AB77DF" w:rsidRPr="00FA5ACA" w:rsidRDefault="00AB77DF" w:rsidP="00D014B9">
            <w:r w:rsidRPr="00FA5ACA">
              <w:t xml:space="preserve">Upon program completion, one or more persons who are responsible for the program determine </w:t>
            </w:r>
            <w:proofErr w:type="gramStart"/>
            <w:r w:rsidRPr="00FA5ACA">
              <w:t>on the basis of</w:t>
            </w:r>
            <w:proofErr w:type="gramEnd"/>
            <w:r w:rsidRPr="00FA5ACA">
              <w:t xml:space="preserve"> thorough documentation and written verification that the CTE teacher has satisfied each Standard in Category II. </w:t>
            </w:r>
          </w:p>
        </w:tc>
        <w:tc>
          <w:tcPr>
            <w:tcW w:w="8995" w:type="dxa"/>
          </w:tcPr>
          <w:p w14:paraId="43393C6B" w14:textId="77777777" w:rsidR="00AB77DF" w:rsidRPr="00FA5ACA" w:rsidRDefault="00AB77DF" w:rsidP="002C2385">
            <w:pPr>
              <w:tabs>
                <w:tab w:val="left" w:pos="360"/>
                <w:tab w:val="left" w:pos="720"/>
                <w:tab w:val="right" w:pos="1620"/>
                <w:tab w:val="left" w:pos="1800"/>
                <w:tab w:val="left" w:pos="2160"/>
                <w:tab w:val="right" w:leader="dot" w:pos="9360"/>
              </w:tabs>
              <w:rPr>
                <w:bCs/>
              </w:rPr>
            </w:pPr>
          </w:p>
        </w:tc>
      </w:tr>
      <w:tr w:rsidR="00AB77DF" w:rsidRPr="00FA5ACA" w14:paraId="28922BD9" w14:textId="77777777" w:rsidTr="00D014B9">
        <w:trPr>
          <w:cantSplit/>
        </w:trPr>
        <w:tc>
          <w:tcPr>
            <w:tcW w:w="4433" w:type="dxa"/>
          </w:tcPr>
          <w:p w14:paraId="0BCD2986" w14:textId="77777777" w:rsidR="00AB77DF" w:rsidRPr="00FA5ACA" w:rsidRDefault="00AB77DF" w:rsidP="00D014B9">
            <w:r w:rsidRPr="00FA5ACA">
              <w:t>The program uses formative and summative assessment to determine CTE teachers’ competence based on the TPEs.</w:t>
            </w:r>
          </w:p>
        </w:tc>
        <w:tc>
          <w:tcPr>
            <w:tcW w:w="8995" w:type="dxa"/>
          </w:tcPr>
          <w:p w14:paraId="58BEBE2A" w14:textId="77777777" w:rsidR="00AB77DF" w:rsidRPr="00FA5ACA" w:rsidRDefault="00AB77DF" w:rsidP="002C2385">
            <w:pPr>
              <w:tabs>
                <w:tab w:val="left" w:pos="360"/>
                <w:tab w:val="left" w:pos="720"/>
                <w:tab w:val="right" w:pos="1620"/>
                <w:tab w:val="left" w:pos="1800"/>
                <w:tab w:val="left" w:pos="2160"/>
                <w:tab w:val="right" w:leader="dot" w:pos="9360"/>
              </w:tabs>
              <w:rPr>
                <w:bCs/>
              </w:rPr>
            </w:pPr>
          </w:p>
        </w:tc>
      </w:tr>
    </w:tbl>
    <w:p w14:paraId="0AA8EE77" w14:textId="77777777" w:rsidR="00B74F86" w:rsidRPr="00627697" w:rsidRDefault="00B74F86" w:rsidP="00A92736"/>
    <w:p w14:paraId="0DD0FB6A" w14:textId="77777777" w:rsidR="00B74F86" w:rsidRPr="00627697" w:rsidRDefault="00B74F86" w:rsidP="002C2385">
      <w:pPr>
        <w:rPr>
          <w:szCs w:val="20"/>
          <w:lang w:bidi="ar-SA"/>
        </w:rPr>
      </w:pPr>
      <w:r w:rsidRPr="00627697">
        <w:rPr>
          <w:szCs w:val="20"/>
          <w:lang w:bidi="ar-SA"/>
        </w:rPr>
        <w:br w:type="page"/>
      </w:r>
    </w:p>
    <w:p w14:paraId="2549BD1E" w14:textId="7FEFB4FE" w:rsidR="00AA09B0" w:rsidRDefault="00AA09B0" w:rsidP="00D014B9">
      <w:pPr>
        <w:pStyle w:val="Heading4"/>
      </w:pPr>
      <w:bookmarkStart w:id="37" w:name="_Standard_7:_Advanced"/>
      <w:bookmarkStart w:id="38" w:name="_Toc262297435"/>
      <w:bookmarkEnd w:id="37"/>
      <w:r w:rsidRPr="00627697">
        <w:lastRenderedPageBreak/>
        <w:t xml:space="preserve">Standard 7: Advanced Programs of </w:t>
      </w:r>
      <w:r w:rsidRPr="00F737FF">
        <w:t>Preparation</w:t>
      </w:r>
      <w:bookmarkEnd w:id="38"/>
    </w:p>
    <w:p w14:paraId="29FF6544" w14:textId="77777777" w:rsidR="00D014B9" w:rsidRPr="00D014B9" w:rsidRDefault="00D014B9" w:rsidP="00D014B9">
      <w:pPr>
        <w:spacing w:after="0" w:line="240" w:lineRule="auto"/>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9028"/>
      </w:tblGrid>
      <w:tr w:rsidR="00AB77DF" w:rsidRPr="00FA5ACA" w14:paraId="03EA0F3C" w14:textId="77777777" w:rsidTr="00D014B9">
        <w:trPr>
          <w:cantSplit/>
          <w:trHeight w:val="490"/>
          <w:tblHeader/>
        </w:trPr>
        <w:tc>
          <w:tcPr>
            <w:tcW w:w="4400" w:type="dxa"/>
          </w:tcPr>
          <w:p w14:paraId="18E8F6CD" w14:textId="77777777" w:rsidR="00AB77DF" w:rsidRPr="00FA5ACA" w:rsidRDefault="00AB77DF" w:rsidP="00F3583A">
            <w:pPr>
              <w:pStyle w:val="Heading3"/>
              <w:spacing w:before="0" w:line="240" w:lineRule="auto"/>
            </w:pPr>
            <w:r w:rsidRPr="00FA5ACA">
              <w:t>Standard</w:t>
            </w:r>
          </w:p>
        </w:tc>
        <w:tc>
          <w:tcPr>
            <w:tcW w:w="9028" w:type="dxa"/>
          </w:tcPr>
          <w:p w14:paraId="3C50D437" w14:textId="77777777" w:rsidR="00AB77DF" w:rsidRPr="00FA5ACA" w:rsidRDefault="00AB77DF" w:rsidP="00AB77DF">
            <w:pPr>
              <w:spacing w:after="0"/>
              <w:jc w:val="center"/>
              <w:rPr>
                <w:b/>
                <w:color w:val="000000"/>
              </w:rPr>
            </w:pPr>
            <w:r w:rsidRPr="00FA5ACA">
              <w:rPr>
                <w:b/>
                <w:color w:val="000000"/>
              </w:rPr>
              <w:t>Narrative Addressing Standard—hyperlink to supporting documentation</w:t>
            </w:r>
          </w:p>
        </w:tc>
      </w:tr>
      <w:tr w:rsidR="00AB77DF" w:rsidRPr="00FA5ACA" w14:paraId="6B7D34A2" w14:textId="77777777" w:rsidTr="00D014B9">
        <w:trPr>
          <w:cantSplit/>
        </w:trPr>
        <w:tc>
          <w:tcPr>
            <w:tcW w:w="4400" w:type="dxa"/>
          </w:tcPr>
          <w:p w14:paraId="45572EB0" w14:textId="77777777" w:rsidR="00AB77DF" w:rsidRPr="00FA5ACA" w:rsidRDefault="00AB77DF" w:rsidP="00D014B9">
            <w:r w:rsidRPr="00FA5ACA">
              <w:t xml:space="preserve">To obtain the Clear Career Technical Education Teaching Credential, CTE teachers must complete a program of advanced preparation and professional development for teachers or its documented equivalent.  The advanced preparation program is designed to support teachers’ attainment of the </w:t>
            </w:r>
            <w:r w:rsidRPr="00FA5ACA">
              <w:rPr>
                <w:i/>
              </w:rPr>
              <w:t>California Standards for the Teaching Profession</w:t>
            </w:r>
            <w:r w:rsidRPr="00FA5ACA">
              <w:t xml:space="preserve"> (CSTP) and to advance the beginning teacher outcomes described in Category II. CTE teachers develop integrated instruction that meets State-adopted CTE curriculum standards, related academic content standards, and curriculum frameworks.</w:t>
            </w:r>
            <w:r w:rsidRPr="00FA5ACA">
              <w:rPr>
                <w:b/>
              </w:rPr>
              <w:t xml:space="preserve"> </w:t>
            </w:r>
          </w:p>
        </w:tc>
        <w:tc>
          <w:tcPr>
            <w:tcW w:w="9028" w:type="dxa"/>
          </w:tcPr>
          <w:p w14:paraId="3CA6F120" w14:textId="77777777" w:rsidR="00AB77DF" w:rsidRPr="00FA5ACA" w:rsidRDefault="00AB77DF" w:rsidP="002C2385"/>
        </w:tc>
      </w:tr>
      <w:tr w:rsidR="00AB77DF" w:rsidRPr="00FA5ACA" w14:paraId="4AC925AD" w14:textId="77777777" w:rsidTr="00D014B9">
        <w:trPr>
          <w:cantSplit/>
        </w:trPr>
        <w:tc>
          <w:tcPr>
            <w:tcW w:w="4400" w:type="dxa"/>
          </w:tcPr>
          <w:p w14:paraId="3D592D27" w14:textId="77777777" w:rsidR="00AB77DF" w:rsidRPr="00FA5ACA" w:rsidRDefault="00AB77DF" w:rsidP="00D014B9">
            <w:r w:rsidRPr="00FA5ACA">
              <w:t>The program provides formative and summative assessment opportunities for CTE teachers to demonstrate their development as teachers. Programs of advanced preparation are characterized by individualized support integrated with formal professional development.</w:t>
            </w:r>
          </w:p>
        </w:tc>
        <w:tc>
          <w:tcPr>
            <w:tcW w:w="9028" w:type="dxa"/>
          </w:tcPr>
          <w:p w14:paraId="21260637" w14:textId="77777777" w:rsidR="00AB77DF" w:rsidRPr="00FA5ACA" w:rsidRDefault="00AB77DF" w:rsidP="002C2385"/>
        </w:tc>
      </w:tr>
    </w:tbl>
    <w:p w14:paraId="21B73272" w14:textId="77777777" w:rsidR="00AA09B0" w:rsidRPr="00627697" w:rsidRDefault="00AA09B0" w:rsidP="002C2385">
      <w:pPr>
        <w:rPr>
          <w:bCs/>
          <w:szCs w:val="20"/>
          <w:lang w:bidi="ar-SA"/>
        </w:rPr>
      </w:pPr>
      <w:r w:rsidRPr="00627697">
        <w:rPr>
          <w:szCs w:val="20"/>
          <w:lang w:bidi="ar-SA"/>
        </w:rPr>
        <w:br w:type="page"/>
      </w:r>
    </w:p>
    <w:p w14:paraId="0C16F5AA" w14:textId="77777777" w:rsidR="00D25A87" w:rsidRDefault="00D25A87" w:rsidP="00BB7FE6">
      <w:pPr>
        <w:pStyle w:val="Heading2"/>
        <w:sectPr w:rsidR="00D25A87" w:rsidSect="00C724B0">
          <w:pgSz w:w="15840" w:h="12240" w:orient="landscape"/>
          <w:pgMar w:top="1440" w:right="1440" w:bottom="1440" w:left="1440" w:header="720" w:footer="720" w:gutter="0"/>
          <w:cols w:space="720"/>
          <w:titlePg/>
          <w:docGrid w:linePitch="360"/>
        </w:sectPr>
      </w:pPr>
    </w:p>
    <w:p w14:paraId="67DB41B6" w14:textId="77777777" w:rsidR="00AA09B0" w:rsidRPr="00627697" w:rsidRDefault="00AA09B0" w:rsidP="008E7C75">
      <w:pPr>
        <w:pStyle w:val="Heading3"/>
      </w:pPr>
      <w:bookmarkStart w:id="39" w:name="_Toc262297436"/>
      <w:r w:rsidRPr="00627697">
        <w:lastRenderedPageBreak/>
        <w:t>Category II: Preparation to Teach Curriculum to All Students</w:t>
      </w:r>
      <w:r w:rsidR="00741F06" w:rsidRPr="00627697">
        <w:t xml:space="preserve"> </w:t>
      </w:r>
      <w:proofErr w:type="gramStart"/>
      <w:r w:rsidRPr="00627697">
        <w:t>In</w:t>
      </w:r>
      <w:proofErr w:type="gramEnd"/>
      <w:r w:rsidRPr="00627697">
        <w:t xml:space="preserve"> California Schools</w:t>
      </w:r>
      <w:bookmarkEnd w:id="39"/>
    </w:p>
    <w:p w14:paraId="6174E3D8" w14:textId="77777777" w:rsidR="00AA09B0" w:rsidRPr="00627697" w:rsidRDefault="00AA09B0" w:rsidP="008E7C75">
      <w:pPr>
        <w:autoSpaceDE w:val="0"/>
        <w:autoSpaceDN w:val="0"/>
        <w:adjustRightInd w:val="0"/>
        <w:spacing w:after="0" w:line="240" w:lineRule="auto"/>
        <w:rPr>
          <w:bCs/>
          <w:szCs w:val="20"/>
          <w:lang w:bidi="ar-SA"/>
        </w:rPr>
      </w:pPr>
    </w:p>
    <w:p w14:paraId="5C55B18E" w14:textId="6DC4F0B3" w:rsidR="00AA09B0" w:rsidRDefault="00AA09B0" w:rsidP="008E7C75">
      <w:pPr>
        <w:pStyle w:val="Heading4"/>
      </w:pPr>
      <w:bookmarkStart w:id="40" w:name="_Toc262297437"/>
      <w:r w:rsidRPr="00D25A87">
        <w:t>Standard</w:t>
      </w:r>
      <w:r w:rsidRPr="00627697">
        <w:t xml:space="preserve"> 8: Curriculum</w:t>
      </w:r>
      <w:bookmarkEnd w:id="40"/>
    </w:p>
    <w:p w14:paraId="3752FB5D" w14:textId="77777777" w:rsidR="008E7C75" w:rsidRPr="008E7C75" w:rsidRDefault="008E7C75" w:rsidP="008E7C75">
      <w:pPr>
        <w:spacing w:after="0" w:line="240" w:lineRule="auto"/>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7020"/>
      </w:tblGrid>
      <w:tr w:rsidR="00AB77DF" w:rsidRPr="00FA5ACA" w14:paraId="29DDC63A" w14:textId="77777777" w:rsidTr="008E7C75">
        <w:trPr>
          <w:cantSplit/>
          <w:trHeight w:val="490"/>
          <w:tblHeader/>
        </w:trPr>
        <w:tc>
          <w:tcPr>
            <w:tcW w:w="6138" w:type="dxa"/>
          </w:tcPr>
          <w:p w14:paraId="5E89777D" w14:textId="77777777" w:rsidR="00AB77DF" w:rsidRPr="00FA5ACA" w:rsidRDefault="00AB77DF" w:rsidP="00D80931">
            <w:pPr>
              <w:pStyle w:val="Heading3"/>
              <w:spacing w:before="0" w:line="240" w:lineRule="auto"/>
            </w:pPr>
            <w:r w:rsidRPr="00FA5ACA">
              <w:t>Standard</w:t>
            </w:r>
          </w:p>
        </w:tc>
        <w:tc>
          <w:tcPr>
            <w:tcW w:w="7020" w:type="dxa"/>
          </w:tcPr>
          <w:p w14:paraId="5AB9ED9F" w14:textId="77777777" w:rsidR="00AB77DF" w:rsidRPr="00FA5ACA" w:rsidRDefault="00AB77DF" w:rsidP="00AB77DF">
            <w:pPr>
              <w:spacing w:after="0"/>
              <w:jc w:val="center"/>
              <w:rPr>
                <w:b/>
                <w:color w:val="000000"/>
              </w:rPr>
            </w:pPr>
            <w:r w:rsidRPr="00FA5ACA">
              <w:rPr>
                <w:b/>
                <w:color w:val="000000"/>
              </w:rPr>
              <w:t>Narrative Addressing Standard—hyperlink to supporting documentation</w:t>
            </w:r>
          </w:p>
        </w:tc>
      </w:tr>
      <w:tr w:rsidR="00AB77DF" w:rsidRPr="00FA5ACA" w14:paraId="431ADB98" w14:textId="77777777" w:rsidTr="008E7C75">
        <w:trPr>
          <w:cantSplit/>
          <w:trHeight w:val="4031"/>
        </w:trPr>
        <w:tc>
          <w:tcPr>
            <w:tcW w:w="6138" w:type="dxa"/>
          </w:tcPr>
          <w:p w14:paraId="3C0A7444" w14:textId="77777777" w:rsidR="00AB77DF" w:rsidRPr="00FA5ACA" w:rsidRDefault="00AB77DF" w:rsidP="008E7C75">
            <w:r w:rsidRPr="00FA5ACA">
              <w:rPr>
                <w:bCs/>
              </w:rPr>
              <w:t>Program coursework includes</w:t>
            </w:r>
            <w:r w:rsidRPr="00FA5ACA">
              <w:rPr>
                <w:b/>
                <w:bCs/>
              </w:rPr>
              <w:t xml:space="preserve"> </w:t>
            </w:r>
            <w:r w:rsidRPr="00FA5ACA">
              <w:t xml:space="preserve">curriculum development and instructional planning skills relating to the significant aspects of the occupation being taught, including but not limited to thinking abilities, positive attitudes about work, teamwork, interpersonal skills, effective communication, the role of the persons doing the work, and the quality of the work produced. The program promotes appreciation of and ability to assist all students in the development of the manipulative skills appropriate to the occupation. </w:t>
            </w:r>
            <w:r w:rsidRPr="00FA5ACA">
              <w:rPr>
                <w:bCs/>
              </w:rPr>
              <w:t xml:space="preserve">Each </w:t>
            </w:r>
            <w:r w:rsidRPr="00FA5ACA">
              <w:t xml:space="preserve">CTE teacher </w:t>
            </w:r>
            <w:r w:rsidRPr="00FA5ACA">
              <w:rPr>
                <w:bCs/>
              </w:rPr>
              <w:t xml:space="preserve">prepares unit and lesson plans aligned to CTE content standards that include outcomes-based goals and objectives, instructional strategies that engage students in learning, safety considerations, industry-standard materials and equipment, and appropriate student assessment techniques.  </w:t>
            </w:r>
          </w:p>
        </w:tc>
        <w:tc>
          <w:tcPr>
            <w:tcW w:w="7020" w:type="dxa"/>
          </w:tcPr>
          <w:p w14:paraId="781B1C55" w14:textId="77777777" w:rsidR="00AB77DF" w:rsidRPr="00FA5ACA" w:rsidRDefault="00AB77DF" w:rsidP="00265D72">
            <w:pPr>
              <w:spacing w:after="0"/>
              <w:rPr>
                <w:b/>
              </w:rPr>
            </w:pPr>
          </w:p>
        </w:tc>
      </w:tr>
      <w:tr w:rsidR="00AB77DF" w:rsidRPr="00FA5ACA" w14:paraId="1481B1BD" w14:textId="77777777" w:rsidTr="008E7C75">
        <w:trPr>
          <w:cantSplit/>
          <w:trHeight w:val="575"/>
        </w:trPr>
        <w:tc>
          <w:tcPr>
            <w:tcW w:w="6138" w:type="dxa"/>
          </w:tcPr>
          <w:p w14:paraId="786733A7" w14:textId="77777777" w:rsidR="00AB77DF" w:rsidRPr="00FA5ACA" w:rsidRDefault="00AB77DF" w:rsidP="00D80931">
            <w:pPr>
              <w:ind w:left="702" w:hanging="702"/>
            </w:pPr>
            <w:r w:rsidRPr="00FA5ACA">
              <w:lastRenderedPageBreak/>
              <w:t xml:space="preserve">Initial Preparation Program </w:t>
            </w:r>
          </w:p>
          <w:p w14:paraId="2A357AEA" w14:textId="77777777" w:rsidR="00AB77DF" w:rsidRPr="00FA5ACA" w:rsidRDefault="00AB77DF" w:rsidP="00D80931">
            <w:r w:rsidRPr="00FA5ACA">
              <w:t>CTE teacher outcomes include demonstration of candidates’ abilities to:</w:t>
            </w:r>
          </w:p>
          <w:p w14:paraId="60B9368D" w14:textId="77777777" w:rsidR="00AB77DF" w:rsidRPr="00FA5ACA" w:rsidRDefault="00AB77DF" w:rsidP="00D80931">
            <w:pPr>
              <w:ind w:left="702" w:hanging="702"/>
            </w:pPr>
            <w:r w:rsidRPr="00FA5ACA">
              <w:t>8(1)</w:t>
            </w:r>
            <w:r w:rsidRPr="00FA5ACA">
              <w:tab/>
              <w:t>Develop outcomes-based student performance objectives within CTE standards-aligned unit and lesson plans.</w:t>
            </w:r>
          </w:p>
          <w:p w14:paraId="3C6EAD5E" w14:textId="77777777" w:rsidR="00AB77DF" w:rsidRPr="00FA5ACA" w:rsidRDefault="00AB77DF" w:rsidP="00D80931">
            <w:pPr>
              <w:ind w:left="702" w:hanging="702"/>
            </w:pPr>
            <w:r w:rsidRPr="00FA5ACA">
              <w:t>8(2)</w:t>
            </w:r>
            <w:r w:rsidRPr="00FA5ACA">
              <w:tab/>
              <w:t>Provide instruction in the development of manipulative skills in a school environment.</w:t>
            </w:r>
          </w:p>
          <w:p w14:paraId="7CFDC96F" w14:textId="77777777" w:rsidR="00AB77DF" w:rsidRPr="00FA5ACA" w:rsidRDefault="00AB77DF" w:rsidP="00D80931">
            <w:pPr>
              <w:ind w:left="702" w:hanging="702"/>
            </w:pPr>
            <w:r w:rsidRPr="00FA5ACA">
              <w:t>8(3)</w:t>
            </w:r>
            <w:r w:rsidRPr="00FA5ACA">
              <w:tab/>
              <w:t>Teach students how to use the most current and appropriate technology to perform the skills needed for the career area.</w:t>
            </w:r>
          </w:p>
          <w:p w14:paraId="2F25A2CF" w14:textId="77777777" w:rsidR="00AB77DF" w:rsidRPr="00FA5ACA" w:rsidRDefault="00AB77DF" w:rsidP="00D80931">
            <w:pPr>
              <w:ind w:left="702" w:hanging="702"/>
            </w:pPr>
            <w:r w:rsidRPr="00FA5ACA">
              <w:t>8(4)</w:t>
            </w:r>
            <w:r w:rsidRPr="00FA5ACA">
              <w:tab/>
              <w:t>Balance the focus of instruction between technical information, concepts, principles, and applications.</w:t>
            </w:r>
          </w:p>
          <w:p w14:paraId="51E39FDD" w14:textId="77777777" w:rsidR="00AB77DF" w:rsidRPr="00FA5ACA" w:rsidRDefault="00AB77DF" w:rsidP="00D80931">
            <w:pPr>
              <w:ind w:left="702" w:hanging="702"/>
            </w:pPr>
            <w:r w:rsidRPr="00FA5ACA">
              <w:t>8(5)</w:t>
            </w:r>
            <w:r w:rsidRPr="00FA5ACA">
              <w:tab/>
              <w:t>Motivate students regarding the instructional content and its relationship to the core academic curriculum and to the workplace.</w:t>
            </w:r>
          </w:p>
          <w:p w14:paraId="2478B1C3" w14:textId="77777777" w:rsidR="00AB77DF" w:rsidRPr="00FA5ACA" w:rsidRDefault="00AB77DF" w:rsidP="00D80931">
            <w:pPr>
              <w:ind w:left="702" w:hanging="702"/>
            </w:pPr>
            <w:r w:rsidRPr="00FA5ACA">
              <w:t>8(6)</w:t>
            </w:r>
            <w:r w:rsidRPr="00FA5ACA">
              <w:tab/>
              <w:t>Promote work habits, interpersonal skills, communication skills and attitudes necessary for success in the workplace.</w:t>
            </w:r>
          </w:p>
          <w:p w14:paraId="45483C76" w14:textId="77777777" w:rsidR="00AB77DF" w:rsidRPr="00FA5ACA" w:rsidRDefault="00AB77DF" w:rsidP="00D80931">
            <w:pPr>
              <w:ind w:left="702" w:hanging="702"/>
            </w:pPr>
            <w:r w:rsidRPr="00FA5ACA">
              <w:t>8(7)</w:t>
            </w:r>
            <w:r w:rsidRPr="00FA5ACA">
              <w:tab/>
              <w:t>Organize, coordinate, and use a program advisory committee to maintain curricular currency.</w:t>
            </w:r>
          </w:p>
          <w:p w14:paraId="7F4464AA" w14:textId="77777777" w:rsidR="00AB77DF" w:rsidRPr="00FA5ACA" w:rsidRDefault="00AB77DF" w:rsidP="00D80931">
            <w:pPr>
              <w:ind w:left="702" w:hanging="702"/>
            </w:pPr>
            <w:r w:rsidRPr="00FA5ACA">
              <w:t>8(8)</w:t>
            </w:r>
            <w:r w:rsidRPr="00FA5ACA">
              <w:tab/>
              <w:t xml:space="preserve">Integrate critical thinking skills and </w:t>
            </w:r>
            <w:proofErr w:type="gramStart"/>
            <w:r w:rsidRPr="00FA5ACA">
              <w:t>problem solving</w:t>
            </w:r>
            <w:proofErr w:type="gramEnd"/>
            <w:r w:rsidRPr="00FA5ACA">
              <w:t xml:space="preserve"> abilities into curriculum.  </w:t>
            </w:r>
          </w:p>
          <w:p w14:paraId="7DD6B9E0" w14:textId="77777777" w:rsidR="00AB77DF" w:rsidRPr="00FA5ACA" w:rsidRDefault="00AB77DF" w:rsidP="00D80931">
            <w:pPr>
              <w:ind w:left="702" w:hanging="702"/>
            </w:pPr>
            <w:r w:rsidRPr="00FA5ACA">
              <w:t>8(9)</w:t>
            </w:r>
            <w:r w:rsidRPr="00FA5ACA">
              <w:tab/>
              <w:t>Develop, maintain, and nurture partnerships for work-based learning activities.</w:t>
            </w:r>
          </w:p>
          <w:p w14:paraId="4060E645" w14:textId="6EB5E4AF" w:rsidR="00AB77DF" w:rsidRPr="00FA5ACA" w:rsidRDefault="00AB77DF" w:rsidP="00D80931">
            <w:pPr>
              <w:ind w:left="702" w:hanging="702"/>
            </w:pPr>
            <w:r w:rsidRPr="00FA5ACA">
              <w:lastRenderedPageBreak/>
              <w:t>8(10)</w:t>
            </w:r>
            <w:r w:rsidRPr="00FA5ACA">
              <w:tab/>
              <w:t xml:space="preserve">Relate child labor laws to classroom assignments and job placements. </w:t>
            </w:r>
          </w:p>
        </w:tc>
        <w:tc>
          <w:tcPr>
            <w:tcW w:w="7020" w:type="dxa"/>
          </w:tcPr>
          <w:p w14:paraId="606EC4D3" w14:textId="77777777" w:rsidR="00AB77DF" w:rsidRPr="00FA5ACA" w:rsidRDefault="00AB77DF" w:rsidP="00265D72"/>
        </w:tc>
      </w:tr>
      <w:tr w:rsidR="00AB77DF" w:rsidRPr="00FA5ACA" w14:paraId="06B5DE82" w14:textId="77777777" w:rsidTr="00266623">
        <w:trPr>
          <w:cantSplit/>
        </w:trPr>
        <w:tc>
          <w:tcPr>
            <w:tcW w:w="6138" w:type="dxa"/>
          </w:tcPr>
          <w:p w14:paraId="4E8C6664" w14:textId="77777777" w:rsidR="00AB77DF" w:rsidRPr="00FA5ACA" w:rsidRDefault="00AB77DF" w:rsidP="00266623">
            <w:r w:rsidRPr="00FA5ACA">
              <w:t xml:space="preserve">Advanced Preparation Program </w:t>
            </w:r>
          </w:p>
          <w:p w14:paraId="7B40F626" w14:textId="77777777" w:rsidR="00AB77DF" w:rsidRPr="00FA5ACA" w:rsidRDefault="00AB77DF" w:rsidP="00266623">
            <w:r w:rsidRPr="00FA5ACA">
              <w:t>CTE teacher outcomes include demonstration of candidates’ abilities to:</w:t>
            </w:r>
          </w:p>
          <w:p w14:paraId="062FF842" w14:textId="77777777" w:rsidR="00AB77DF" w:rsidRPr="00FA5ACA" w:rsidRDefault="00AB77DF" w:rsidP="00266623">
            <w:pPr>
              <w:ind w:left="702" w:hanging="702"/>
            </w:pPr>
            <w:r w:rsidRPr="00FA5ACA">
              <w:t>8(a)</w:t>
            </w:r>
            <w:r w:rsidRPr="00FA5ACA">
              <w:tab/>
              <w:t xml:space="preserve">Prepare a complete curriculum plan for the course or subject that they teach, including goals, objectives, daily lesson plans, classroom materials, teaching strategies, and student assessment materials. </w:t>
            </w:r>
          </w:p>
          <w:p w14:paraId="1BB538D9" w14:textId="30C0DFA1" w:rsidR="00AB77DF" w:rsidRPr="00FA5ACA" w:rsidRDefault="00AB77DF" w:rsidP="00266623">
            <w:pPr>
              <w:ind w:left="702" w:hanging="702"/>
            </w:pPr>
            <w:r w:rsidRPr="00FA5ACA">
              <w:t>8(b)</w:t>
            </w:r>
            <w:r w:rsidRPr="00FA5ACA">
              <w:tab/>
              <w:t>Design lessons to help all students maximize their performance with respect to the student academic content standards.</w:t>
            </w:r>
          </w:p>
        </w:tc>
        <w:tc>
          <w:tcPr>
            <w:tcW w:w="7020" w:type="dxa"/>
          </w:tcPr>
          <w:p w14:paraId="12529F4C" w14:textId="77777777" w:rsidR="00AB77DF" w:rsidRPr="00FA5ACA" w:rsidRDefault="00AB77DF" w:rsidP="00265D72"/>
        </w:tc>
      </w:tr>
    </w:tbl>
    <w:p w14:paraId="0A25E80A" w14:textId="77777777" w:rsidR="00AA09B0" w:rsidRPr="00627697" w:rsidRDefault="00AA09B0" w:rsidP="00A92736"/>
    <w:p w14:paraId="6B436DB2" w14:textId="77777777" w:rsidR="00AA09B0" w:rsidRPr="00627697" w:rsidRDefault="00AA09B0" w:rsidP="002C2385">
      <w:pPr>
        <w:rPr>
          <w:szCs w:val="20"/>
        </w:rPr>
      </w:pPr>
      <w:r w:rsidRPr="00627697">
        <w:rPr>
          <w:szCs w:val="20"/>
        </w:rPr>
        <w:br w:type="page"/>
      </w:r>
    </w:p>
    <w:p w14:paraId="14D429FF" w14:textId="340EBC70" w:rsidR="00AA09B0" w:rsidRDefault="00AA09B0" w:rsidP="008E7C75">
      <w:pPr>
        <w:pStyle w:val="Heading4"/>
      </w:pPr>
      <w:bookmarkStart w:id="41" w:name="_Toc262297438"/>
      <w:r w:rsidRPr="00627697">
        <w:lastRenderedPageBreak/>
        <w:t xml:space="preserve">Standard 9: Learning and </w:t>
      </w:r>
      <w:r w:rsidRPr="00D25A87">
        <w:t>Instruction</w:t>
      </w:r>
      <w:bookmarkEnd w:id="41"/>
    </w:p>
    <w:p w14:paraId="345FEAB5" w14:textId="77777777" w:rsidR="008E7C75" w:rsidRPr="008E7C75" w:rsidRDefault="008E7C75" w:rsidP="008E7C75">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3"/>
        <w:gridCol w:w="6897"/>
      </w:tblGrid>
      <w:tr w:rsidR="00AB77DF" w:rsidRPr="00FD7E05" w14:paraId="3643E766" w14:textId="77777777" w:rsidTr="00053945">
        <w:trPr>
          <w:cantSplit/>
          <w:trHeight w:val="490"/>
          <w:tblHeader/>
        </w:trPr>
        <w:tc>
          <w:tcPr>
            <w:tcW w:w="6138" w:type="dxa"/>
          </w:tcPr>
          <w:p w14:paraId="2A5BD782" w14:textId="77777777" w:rsidR="00AB77DF" w:rsidRPr="00FD7E05" w:rsidRDefault="00AB77DF" w:rsidP="00FD7E05">
            <w:pPr>
              <w:jc w:val="center"/>
              <w:rPr>
                <w:b/>
                <w:bCs/>
              </w:rPr>
            </w:pPr>
            <w:r w:rsidRPr="00FD7E05">
              <w:rPr>
                <w:b/>
                <w:bCs/>
              </w:rPr>
              <w:t>Standard</w:t>
            </w:r>
          </w:p>
        </w:tc>
        <w:tc>
          <w:tcPr>
            <w:tcW w:w="7020" w:type="dxa"/>
          </w:tcPr>
          <w:p w14:paraId="20674EBA" w14:textId="77777777" w:rsidR="00AB77DF" w:rsidRPr="00FD7E05" w:rsidRDefault="00AB77DF" w:rsidP="00FD7E05">
            <w:pPr>
              <w:jc w:val="center"/>
              <w:rPr>
                <w:b/>
                <w:bCs/>
                <w:color w:val="000000"/>
              </w:rPr>
            </w:pPr>
            <w:r w:rsidRPr="00FD7E05">
              <w:rPr>
                <w:b/>
                <w:bCs/>
                <w:color w:val="000000"/>
              </w:rPr>
              <w:t>Narrative Addressing Standard—hyperlink to supporting documentation</w:t>
            </w:r>
          </w:p>
        </w:tc>
      </w:tr>
      <w:tr w:rsidR="00AB77DF" w:rsidRPr="00FA5ACA" w14:paraId="4FE7445F" w14:textId="77777777" w:rsidTr="00053945">
        <w:trPr>
          <w:cantSplit/>
        </w:trPr>
        <w:tc>
          <w:tcPr>
            <w:tcW w:w="6138" w:type="dxa"/>
          </w:tcPr>
          <w:p w14:paraId="661105E0" w14:textId="77777777" w:rsidR="00AB77DF" w:rsidRPr="00FA5ACA" w:rsidRDefault="00AB77DF" w:rsidP="00B76BD7">
            <w:r w:rsidRPr="00FA5ACA">
              <w:t>CTE teachers implement a variety of standards-based pedagogical strategies and select materials appropriate for students with diverse needs and learning styles. CTE teachers plan instruction that addresses common traits and individual developmental differences that characterize adolescents and adults. CTE teachers present ideas, concepts, and procedures using clear and meaningful language to facilitate students’ efforts to learn. CTE teachers use formative assessments to adapt instruction to student learning.</w:t>
            </w:r>
          </w:p>
        </w:tc>
        <w:tc>
          <w:tcPr>
            <w:tcW w:w="7020" w:type="dxa"/>
          </w:tcPr>
          <w:p w14:paraId="361B49B4" w14:textId="77777777" w:rsidR="00AB77DF" w:rsidRPr="00FA5ACA" w:rsidRDefault="00AB77DF" w:rsidP="002C2385"/>
        </w:tc>
      </w:tr>
      <w:tr w:rsidR="00AB77DF" w:rsidRPr="00FA5ACA" w14:paraId="128B785B" w14:textId="77777777" w:rsidTr="00053945">
        <w:trPr>
          <w:cantSplit/>
        </w:trPr>
        <w:tc>
          <w:tcPr>
            <w:tcW w:w="6138" w:type="dxa"/>
          </w:tcPr>
          <w:p w14:paraId="7636E360" w14:textId="77777777" w:rsidR="00AB77DF" w:rsidRPr="00FA5ACA" w:rsidRDefault="00AB77DF" w:rsidP="00B76BD7">
            <w:pPr>
              <w:rPr>
                <w:u w:val="single"/>
              </w:rPr>
            </w:pPr>
            <w:r w:rsidRPr="00FA5ACA">
              <w:rPr>
                <w:u w:val="single"/>
              </w:rPr>
              <w:lastRenderedPageBreak/>
              <w:t xml:space="preserve">Initial Preparation Program </w:t>
            </w:r>
          </w:p>
          <w:p w14:paraId="32BDC52C" w14:textId="77777777" w:rsidR="00AB77DF" w:rsidRPr="00FA5ACA" w:rsidRDefault="00AB77DF" w:rsidP="00B76BD7">
            <w:r w:rsidRPr="00FA5ACA">
              <w:t>CTE teacher outcomes include demonstration of candidates’ abilities to:</w:t>
            </w:r>
          </w:p>
          <w:p w14:paraId="35420705" w14:textId="77777777" w:rsidR="00AB77DF" w:rsidRPr="00FA5ACA" w:rsidRDefault="00AB77DF" w:rsidP="00B76BD7">
            <w:pPr>
              <w:ind w:left="612" w:hanging="612"/>
            </w:pPr>
            <w:r w:rsidRPr="00FA5ACA">
              <w:t>9(1)</w:t>
            </w:r>
            <w:r w:rsidRPr="00FA5ACA">
              <w:tab/>
              <w:t>Integrate instruction of related academic skills into their courses.</w:t>
            </w:r>
          </w:p>
          <w:p w14:paraId="41142315" w14:textId="77777777" w:rsidR="00AB77DF" w:rsidRPr="00FA5ACA" w:rsidRDefault="00AB77DF" w:rsidP="00B76BD7">
            <w:pPr>
              <w:ind w:left="612" w:hanging="612"/>
            </w:pPr>
            <w:r w:rsidRPr="00FA5ACA">
              <w:t>9(2)</w:t>
            </w:r>
            <w:r w:rsidRPr="00FA5ACA">
              <w:tab/>
              <w:t xml:space="preserve">To teach the </w:t>
            </w:r>
            <w:proofErr w:type="gramStart"/>
            <w:r w:rsidRPr="00FA5ACA">
              <w:t>state-adopted</w:t>
            </w:r>
            <w:proofErr w:type="gramEnd"/>
            <w:r w:rsidRPr="00FA5ACA">
              <w:t xml:space="preserve"> CTE content standards appropriate for the pathway named on the credential in grades 7-12, including classes organized primarily for adults. </w:t>
            </w:r>
          </w:p>
          <w:p w14:paraId="3C92B56B" w14:textId="77777777" w:rsidR="00AB77DF" w:rsidRPr="00FA5ACA" w:rsidRDefault="00AB77DF" w:rsidP="00B76BD7">
            <w:pPr>
              <w:ind w:left="612" w:hanging="612"/>
            </w:pPr>
            <w:r w:rsidRPr="00FA5ACA">
              <w:t>9(3)</w:t>
            </w:r>
            <w:r w:rsidRPr="00FA5ACA">
              <w:tab/>
              <w:t>Differentiate instruction that takes into consideration cognitive, physical, social, and emotional characteristics of adolescent and adult learning stages.</w:t>
            </w:r>
          </w:p>
          <w:p w14:paraId="6346AD13" w14:textId="77777777" w:rsidR="00AB77DF" w:rsidRPr="00FA5ACA" w:rsidRDefault="00AB77DF" w:rsidP="00B76BD7">
            <w:pPr>
              <w:ind w:left="612" w:hanging="612"/>
            </w:pPr>
            <w:r w:rsidRPr="00FA5ACA">
              <w:t>9(4)</w:t>
            </w:r>
            <w:r w:rsidRPr="00FA5ACA">
              <w:tab/>
              <w:t xml:space="preserve">Pace and adjust instruction based on student assessment, including testing, strategies such as discussion, inquiry, and examination of student work. </w:t>
            </w:r>
          </w:p>
          <w:p w14:paraId="296A9EA0" w14:textId="77777777" w:rsidR="00AB77DF" w:rsidRPr="00FA5ACA" w:rsidRDefault="00AB77DF" w:rsidP="00B76BD7">
            <w:pPr>
              <w:ind w:left="612" w:hanging="612"/>
            </w:pPr>
            <w:r w:rsidRPr="00FA5ACA">
              <w:t>9(5)</w:t>
            </w:r>
            <w:r w:rsidRPr="00FA5ACA">
              <w:tab/>
              <w:t>Actively engage students with strategies, activities, and materials that are based on different learning theories (e.g., constructivist, socio-cultural, transformational).</w:t>
            </w:r>
          </w:p>
          <w:p w14:paraId="7A54291A" w14:textId="77777777" w:rsidR="00AB77DF" w:rsidRPr="00FA5ACA" w:rsidRDefault="00AB77DF" w:rsidP="00B76BD7">
            <w:pPr>
              <w:ind w:left="612" w:hanging="612"/>
            </w:pPr>
            <w:r w:rsidRPr="00FA5ACA">
              <w:t>9(6)</w:t>
            </w:r>
            <w:r w:rsidRPr="00FA5ACA">
              <w:tab/>
              <w:t>Use instructional strategies appropriate to students of varying abilities in small and large group instruction.</w:t>
            </w:r>
          </w:p>
          <w:p w14:paraId="09B9C781" w14:textId="77777777" w:rsidR="00AB77DF" w:rsidRPr="00FA5ACA" w:rsidRDefault="00AB77DF" w:rsidP="00B76BD7">
            <w:pPr>
              <w:ind w:left="612" w:hanging="612"/>
              <w:rPr>
                <w:i/>
              </w:rPr>
            </w:pPr>
            <w:r w:rsidRPr="00FA5ACA">
              <w:t>9(7)</w:t>
            </w:r>
            <w:r w:rsidRPr="00FA5ACA">
              <w:tab/>
              <w:t xml:space="preserve">Allocate instructional time to maximize student achievement. </w:t>
            </w:r>
          </w:p>
          <w:p w14:paraId="3727597C" w14:textId="77777777" w:rsidR="00AB77DF" w:rsidRPr="00FA5ACA" w:rsidRDefault="00AB77DF" w:rsidP="00B76BD7">
            <w:pPr>
              <w:ind w:left="612" w:hanging="612"/>
            </w:pPr>
            <w:r w:rsidRPr="00FA5ACA">
              <w:t>9(8)</w:t>
            </w:r>
            <w:r w:rsidRPr="00FA5ACA">
              <w:tab/>
              <w:t>Model correct oral and written language and adjust the complexity of the language to the linguistic abilities of the students.</w:t>
            </w:r>
          </w:p>
          <w:p w14:paraId="7BA0B7AB" w14:textId="77777777" w:rsidR="00AB77DF" w:rsidRPr="00FA5ACA" w:rsidRDefault="00AB77DF" w:rsidP="00B76BD7">
            <w:pPr>
              <w:ind w:left="612" w:hanging="612"/>
            </w:pPr>
            <w:r w:rsidRPr="00FA5ACA">
              <w:lastRenderedPageBreak/>
              <w:t>9(9)</w:t>
            </w:r>
            <w:r w:rsidRPr="00FA5ACA">
              <w:tab/>
              <w:t xml:space="preserve">Apply language development strategies (oral, reading, and written), including specially designed academic instruction delivered in </w:t>
            </w:r>
            <w:proofErr w:type="gramStart"/>
            <w:r w:rsidRPr="00FA5ACA">
              <w:t>English  (</w:t>
            </w:r>
            <w:proofErr w:type="gramEnd"/>
            <w:r w:rsidRPr="00FA5ACA">
              <w:t>SDAIE).</w:t>
            </w:r>
          </w:p>
          <w:p w14:paraId="5FB32237" w14:textId="77777777" w:rsidR="00AB77DF" w:rsidRPr="00FA5ACA" w:rsidRDefault="00AB77DF" w:rsidP="00B76BD7">
            <w:pPr>
              <w:ind w:left="612" w:hanging="612"/>
            </w:pPr>
            <w:r w:rsidRPr="00FA5ACA">
              <w:t>9(10)</w:t>
            </w:r>
            <w:r w:rsidRPr="00FA5ACA">
              <w:tab/>
              <w:t>Provide individualized instruction when needed for student success.</w:t>
            </w:r>
          </w:p>
          <w:p w14:paraId="76348500" w14:textId="77777777" w:rsidR="00AB77DF" w:rsidRPr="00FA5ACA" w:rsidRDefault="00AB77DF" w:rsidP="00B76BD7">
            <w:pPr>
              <w:ind w:left="612" w:hanging="612"/>
            </w:pPr>
            <w:r w:rsidRPr="00FA5ACA">
              <w:t>9(11)</w:t>
            </w:r>
            <w:r w:rsidRPr="00FA5ACA">
              <w:tab/>
              <w:t>Deliver lessons that are based on instructional goals, student performance objectives, appropriate teaching strategies, safety considerations, relevant classroom materials, and assessment data.</w:t>
            </w:r>
          </w:p>
          <w:p w14:paraId="57DF35DA" w14:textId="77777777" w:rsidR="00AB77DF" w:rsidRPr="00FA5ACA" w:rsidRDefault="00AB77DF" w:rsidP="00B76BD7">
            <w:pPr>
              <w:ind w:left="612" w:hanging="612"/>
            </w:pPr>
            <w:r w:rsidRPr="00FA5ACA">
              <w:t>9(12)</w:t>
            </w:r>
            <w:r w:rsidRPr="00FA5ACA">
              <w:tab/>
              <w:t>Plan a unit of instruction consisting of a series of lessons in which at least one concept, skill or topic is taught fully and sequenced effectively.</w:t>
            </w:r>
          </w:p>
        </w:tc>
        <w:tc>
          <w:tcPr>
            <w:tcW w:w="7020" w:type="dxa"/>
          </w:tcPr>
          <w:p w14:paraId="2921D8EB" w14:textId="77777777" w:rsidR="00AB77DF" w:rsidRPr="00FA5ACA" w:rsidRDefault="00AB77DF" w:rsidP="002C2385"/>
        </w:tc>
      </w:tr>
      <w:tr w:rsidR="00AB77DF" w:rsidRPr="00FA5ACA" w14:paraId="3465A739" w14:textId="77777777" w:rsidTr="00053945">
        <w:trPr>
          <w:cantSplit/>
        </w:trPr>
        <w:tc>
          <w:tcPr>
            <w:tcW w:w="6138" w:type="dxa"/>
          </w:tcPr>
          <w:p w14:paraId="0B94EB64" w14:textId="77777777" w:rsidR="00AB77DF" w:rsidRPr="00FA5ACA" w:rsidRDefault="00AB77DF" w:rsidP="007B26D2">
            <w:r w:rsidRPr="00FA5ACA">
              <w:lastRenderedPageBreak/>
              <w:t xml:space="preserve">Advanced Preparation Program </w:t>
            </w:r>
          </w:p>
          <w:p w14:paraId="6B1714DF" w14:textId="77777777" w:rsidR="00AB77DF" w:rsidRPr="00FA5ACA" w:rsidRDefault="00AB77DF" w:rsidP="007B26D2">
            <w:pPr>
              <w:rPr>
                <w:i/>
              </w:rPr>
            </w:pPr>
            <w:r w:rsidRPr="00FA5ACA">
              <w:rPr>
                <w:i/>
              </w:rPr>
              <w:t>To obtain the professional credential, teachers have the option to complete a program of advanced preparation that provides opportunities to demonstrate teaching competency through multiple measures.</w:t>
            </w:r>
          </w:p>
          <w:p w14:paraId="6F889C08" w14:textId="77777777" w:rsidR="00AB77DF" w:rsidRPr="00FA5ACA" w:rsidRDefault="00AB77DF" w:rsidP="007B26D2">
            <w:r w:rsidRPr="00FA5ACA">
              <w:t>CTE teacher outcomes include demonstration of candidates’ abilities to:</w:t>
            </w:r>
          </w:p>
          <w:p w14:paraId="66D6C3D5" w14:textId="77777777" w:rsidR="00AB77DF" w:rsidRPr="00FA5ACA" w:rsidRDefault="00AB77DF" w:rsidP="007B26D2">
            <w:pPr>
              <w:ind w:left="522" w:hanging="522"/>
            </w:pPr>
            <w:r w:rsidRPr="00FA5ACA">
              <w:t>9(a)</w:t>
            </w:r>
            <w:r w:rsidRPr="00FA5ACA">
              <w:tab/>
              <w:t xml:space="preserve">Use explanations, demonstrations and class activities that serve to illustrate concepts, principles, investigative methods, </w:t>
            </w:r>
            <w:proofErr w:type="gramStart"/>
            <w:r w:rsidRPr="00FA5ACA">
              <w:t>experimentation</w:t>
            </w:r>
            <w:proofErr w:type="gramEnd"/>
            <w:r w:rsidRPr="00FA5ACA">
              <w:t xml:space="preserve"> and application appropriate to the occupational area. </w:t>
            </w:r>
          </w:p>
          <w:p w14:paraId="5823B5FE" w14:textId="77777777" w:rsidR="00AB77DF" w:rsidRPr="00FA5ACA" w:rsidRDefault="00AB77DF" w:rsidP="007B26D2">
            <w:pPr>
              <w:ind w:left="522" w:hanging="522"/>
            </w:pPr>
            <w:r w:rsidRPr="00FA5ACA">
              <w:t>9(b)</w:t>
            </w:r>
            <w:r w:rsidRPr="00FA5ACA">
              <w:tab/>
              <w:t xml:space="preserve">Use reflection and feedback to formulate and prioritize goals for increasing candidates’ subject matter knowledge and teaching effectiveness. </w:t>
            </w:r>
          </w:p>
          <w:p w14:paraId="6D09B586" w14:textId="77777777" w:rsidR="00AB77DF" w:rsidRPr="00FA5ACA" w:rsidRDefault="00AB77DF" w:rsidP="007B26D2">
            <w:pPr>
              <w:ind w:left="522" w:hanging="522"/>
            </w:pPr>
            <w:r w:rsidRPr="00FA5ACA">
              <w:t>9(c)</w:t>
            </w:r>
            <w:r w:rsidRPr="00FA5ACA">
              <w:tab/>
              <w:t xml:space="preserve">Improve their teaching practices by soliciting feedback and engaging in cycles of planning, teaching, reflecting, discerning </w:t>
            </w:r>
            <w:proofErr w:type="gramStart"/>
            <w:r w:rsidRPr="00FA5ACA">
              <w:t>problems</w:t>
            </w:r>
            <w:proofErr w:type="gramEnd"/>
            <w:r w:rsidRPr="00FA5ACA">
              <w:t xml:space="preserve"> and applying new strategies. </w:t>
            </w:r>
          </w:p>
          <w:p w14:paraId="2885D73C" w14:textId="77777777" w:rsidR="00AB77DF" w:rsidRPr="00FA5ACA" w:rsidRDefault="00AB77DF" w:rsidP="007B26D2">
            <w:pPr>
              <w:ind w:left="522" w:hanging="522"/>
            </w:pPr>
            <w:r w:rsidRPr="00FA5ACA">
              <w:t>9(d)</w:t>
            </w:r>
            <w:r w:rsidRPr="00FA5ACA">
              <w:tab/>
              <w:t>Work with other educators to demonstrate the knowledge and ability to apply the state-adopted content standards, curriculum frameworks, performance levels, and adopted texts and instructional materials in at least one content area of focus.</w:t>
            </w:r>
          </w:p>
        </w:tc>
        <w:tc>
          <w:tcPr>
            <w:tcW w:w="7020" w:type="dxa"/>
          </w:tcPr>
          <w:p w14:paraId="319ECE86" w14:textId="77777777" w:rsidR="00AB77DF" w:rsidRPr="00FA5ACA" w:rsidRDefault="00AB77DF" w:rsidP="002C2385"/>
        </w:tc>
      </w:tr>
    </w:tbl>
    <w:p w14:paraId="3ACD068E" w14:textId="77777777" w:rsidR="00B00BEE" w:rsidRPr="00627697" w:rsidRDefault="00B00BEE" w:rsidP="002C2385">
      <w:pPr>
        <w:rPr>
          <w:szCs w:val="20"/>
          <w:lang w:bidi="ar-SA"/>
        </w:rPr>
      </w:pPr>
      <w:r w:rsidRPr="00627697">
        <w:rPr>
          <w:szCs w:val="20"/>
          <w:lang w:bidi="ar-SA"/>
        </w:rPr>
        <w:br w:type="page"/>
      </w:r>
    </w:p>
    <w:p w14:paraId="66814F0C" w14:textId="1D78B82C" w:rsidR="00AA09B0" w:rsidRDefault="00AA09B0" w:rsidP="001E471D">
      <w:pPr>
        <w:pStyle w:val="Heading4"/>
      </w:pPr>
      <w:bookmarkStart w:id="42" w:name="_Toc262297439"/>
      <w:r w:rsidRPr="00627697">
        <w:lastRenderedPageBreak/>
        <w:t>Standard 10: Assessing Student Learning</w:t>
      </w:r>
      <w:bookmarkEnd w:id="42"/>
    </w:p>
    <w:p w14:paraId="3B3E4301" w14:textId="77777777" w:rsidR="001E471D" w:rsidRPr="001E471D" w:rsidRDefault="001E471D" w:rsidP="001E471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4"/>
        <w:gridCol w:w="7156"/>
      </w:tblGrid>
      <w:tr w:rsidR="00CA7371" w:rsidRPr="00FA5ACA" w14:paraId="5F1A5FB7" w14:textId="77777777" w:rsidTr="001E471D">
        <w:trPr>
          <w:cantSplit/>
          <w:trHeight w:val="490"/>
          <w:tblHeader/>
        </w:trPr>
        <w:tc>
          <w:tcPr>
            <w:tcW w:w="5868" w:type="dxa"/>
          </w:tcPr>
          <w:p w14:paraId="09C27AEB" w14:textId="77777777" w:rsidR="00CA7371" w:rsidRPr="001E471D" w:rsidRDefault="00CA7371" w:rsidP="001E471D">
            <w:pPr>
              <w:jc w:val="center"/>
              <w:rPr>
                <w:b/>
                <w:bCs/>
              </w:rPr>
            </w:pPr>
            <w:r w:rsidRPr="001E471D">
              <w:rPr>
                <w:b/>
                <w:bCs/>
              </w:rPr>
              <w:t>Standard</w:t>
            </w:r>
          </w:p>
        </w:tc>
        <w:tc>
          <w:tcPr>
            <w:tcW w:w="7290" w:type="dxa"/>
          </w:tcPr>
          <w:p w14:paraId="04F25102" w14:textId="77777777" w:rsidR="00CA7371" w:rsidRPr="001E471D" w:rsidRDefault="00CA7371" w:rsidP="001E471D">
            <w:pPr>
              <w:jc w:val="center"/>
              <w:rPr>
                <w:b/>
                <w:bCs/>
                <w:color w:val="000000"/>
              </w:rPr>
            </w:pPr>
            <w:r w:rsidRPr="001E471D">
              <w:rPr>
                <w:b/>
                <w:bCs/>
                <w:color w:val="000000"/>
              </w:rPr>
              <w:t>Narrative Addressing Standard—hyperlink to supporting documentation</w:t>
            </w:r>
          </w:p>
        </w:tc>
      </w:tr>
      <w:tr w:rsidR="00CA7371" w:rsidRPr="00FA5ACA" w14:paraId="7735991D" w14:textId="77777777" w:rsidTr="001E471D">
        <w:trPr>
          <w:cantSplit/>
        </w:trPr>
        <w:tc>
          <w:tcPr>
            <w:tcW w:w="5868" w:type="dxa"/>
          </w:tcPr>
          <w:p w14:paraId="11D6CCD8" w14:textId="77777777" w:rsidR="00CA7371" w:rsidRPr="00FA5ACA" w:rsidRDefault="00CA7371" w:rsidP="001E471D">
            <w:r w:rsidRPr="00405EAB">
              <w:t>Candidates identify student prior achievement, establish appropriate instructional objectives, assess student progress, and evaluate the overall effectiveness of the</w:t>
            </w:r>
            <w:r>
              <w:t>ir</w:t>
            </w:r>
            <w:r w:rsidRPr="00405EAB">
              <w:t xml:space="preserve"> curriculum plan. The program prepares candidates to identify the needs and abilities of students </w:t>
            </w:r>
            <w:proofErr w:type="gramStart"/>
            <w:r w:rsidRPr="00405EAB">
              <w:t>in order to</w:t>
            </w:r>
            <w:proofErr w:type="gramEnd"/>
            <w:r w:rsidRPr="00405EAB">
              <w:t xml:space="preserve"> guide their learning and plan instruction relevant to the needs of the occupation. Candidates use multiple measures of assessing student achievement to improve instruction.</w:t>
            </w:r>
          </w:p>
        </w:tc>
        <w:tc>
          <w:tcPr>
            <w:tcW w:w="7290" w:type="dxa"/>
          </w:tcPr>
          <w:p w14:paraId="787D3A61" w14:textId="77777777" w:rsidR="00CA7371" w:rsidRPr="00FA5ACA" w:rsidRDefault="00CA7371" w:rsidP="002C2385"/>
        </w:tc>
      </w:tr>
      <w:tr w:rsidR="00CA7371" w:rsidRPr="00FA5ACA" w14:paraId="5AA5D152" w14:textId="77777777" w:rsidTr="001E471D">
        <w:trPr>
          <w:cantSplit/>
        </w:trPr>
        <w:tc>
          <w:tcPr>
            <w:tcW w:w="5868" w:type="dxa"/>
          </w:tcPr>
          <w:p w14:paraId="5E3FF3BB" w14:textId="77777777" w:rsidR="00CA7371" w:rsidRPr="00716B83" w:rsidRDefault="00CA7371" w:rsidP="001E471D">
            <w:r w:rsidRPr="00716B83">
              <w:lastRenderedPageBreak/>
              <w:t xml:space="preserve">Initial Preparation Program </w:t>
            </w:r>
          </w:p>
          <w:p w14:paraId="5676330F" w14:textId="77777777" w:rsidR="00CA7371" w:rsidRPr="00716B83" w:rsidRDefault="00CA7371" w:rsidP="001E471D">
            <w:r w:rsidRPr="00716B83">
              <w:t>CTE teacher outcomes include demonstration of candidates’ abilities to:</w:t>
            </w:r>
          </w:p>
          <w:p w14:paraId="0F91B665" w14:textId="77777777" w:rsidR="00CA7371" w:rsidRPr="00405EAB" w:rsidRDefault="00CA7371" w:rsidP="001E471D">
            <w:pPr>
              <w:ind w:left="612" w:hanging="612"/>
            </w:pPr>
            <w:r>
              <w:t>10(1)</w:t>
            </w:r>
            <w:r>
              <w:tab/>
              <w:t>Determine</w:t>
            </w:r>
            <w:r w:rsidRPr="00405EAB">
              <w:t xml:space="preserve"> students’ prior knowledge and skills in the subject(s)/occupation.</w:t>
            </w:r>
          </w:p>
          <w:p w14:paraId="640F0267" w14:textId="77777777" w:rsidR="00CA7371" w:rsidRPr="00405EAB" w:rsidRDefault="00CA7371" w:rsidP="001E471D">
            <w:pPr>
              <w:ind w:left="612" w:hanging="612"/>
            </w:pPr>
            <w:r>
              <w:t>10(2)</w:t>
            </w:r>
            <w:r>
              <w:tab/>
              <w:t>M</w:t>
            </w:r>
            <w:r w:rsidRPr="00405EAB">
              <w:t xml:space="preserve">onitor progress to determine whether students are achieving the </w:t>
            </w:r>
            <w:proofErr w:type="gramStart"/>
            <w:r w:rsidRPr="00405EAB">
              <w:t>state-adopted</w:t>
            </w:r>
            <w:proofErr w:type="gramEnd"/>
            <w:r>
              <w:t xml:space="preserve"> </w:t>
            </w:r>
            <w:r w:rsidRPr="00405EAB">
              <w:t>CTE model curriculum standards.</w:t>
            </w:r>
          </w:p>
          <w:p w14:paraId="2EDC0EB9" w14:textId="77777777" w:rsidR="00CA7371" w:rsidRPr="00405EAB" w:rsidRDefault="00CA7371" w:rsidP="001E471D">
            <w:pPr>
              <w:ind w:left="612" w:hanging="612"/>
            </w:pPr>
            <w:r>
              <w:t>10(3)</w:t>
            </w:r>
            <w:r>
              <w:tab/>
              <w:t>D</w:t>
            </w:r>
            <w:r w:rsidRPr="00405EAB">
              <w:t>evelop and use formal and informal teacher-made assessment instruments to</w:t>
            </w:r>
            <w:r>
              <w:t xml:space="preserve"> </w:t>
            </w:r>
            <w:r w:rsidRPr="00405EAB">
              <w:t xml:space="preserve">determine mastery of skills, ideas, or topics </w:t>
            </w:r>
            <w:proofErr w:type="gramStart"/>
            <w:r w:rsidRPr="00405EAB">
              <w:t>as a result of</w:t>
            </w:r>
            <w:proofErr w:type="gramEnd"/>
            <w:r w:rsidRPr="00405EAB">
              <w:t xml:space="preserve"> instruction.</w:t>
            </w:r>
          </w:p>
          <w:p w14:paraId="4B2D98DC" w14:textId="77777777" w:rsidR="00CA7371" w:rsidRPr="00405EAB" w:rsidRDefault="00CA7371" w:rsidP="001E471D">
            <w:pPr>
              <w:ind w:left="612" w:hanging="612"/>
            </w:pPr>
            <w:r>
              <w:t>10(4)</w:t>
            </w:r>
            <w:r>
              <w:tab/>
              <w:t>E</w:t>
            </w:r>
            <w:r w:rsidRPr="00405EAB">
              <w:t>valuate the effectiveness of instruction based on student assessment data.</w:t>
            </w:r>
          </w:p>
          <w:p w14:paraId="2F4E1EF8" w14:textId="77777777" w:rsidR="00CA7371" w:rsidRPr="00405EAB" w:rsidRDefault="00CA7371" w:rsidP="001E471D">
            <w:pPr>
              <w:ind w:left="612" w:hanging="612"/>
            </w:pPr>
            <w:r>
              <w:t>10(5)</w:t>
            </w:r>
            <w:r>
              <w:tab/>
              <w:t>K</w:t>
            </w:r>
            <w:r w:rsidRPr="00405EAB">
              <w:t>eep accurate records of student achievement.</w:t>
            </w:r>
          </w:p>
          <w:p w14:paraId="6306CAE9" w14:textId="77777777" w:rsidR="00CA7371" w:rsidRPr="00405EAB" w:rsidRDefault="00CA7371" w:rsidP="001E471D">
            <w:pPr>
              <w:ind w:left="612" w:hanging="612"/>
            </w:pPr>
            <w:r>
              <w:t>10(6)</w:t>
            </w:r>
            <w:r>
              <w:tab/>
              <w:t>P</w:t>
            </w:r>
            <w:r w:rsidRPr="00405EAB">
              <w:t>rovide specific and timely feedback on achievement to students, families</w:t>
            </w:r>
            <w:r>
              <w:t>,</w:t>
            </w:r>
            <w:r w:rsidRPr="00405EAB">
              <w:t xml:space="preserve"> and</w:t>
            </w:r>
            <w:r>
              <w:t xml:space="preserve"> </w:t>
            </w:r>
            <w:r w:rsidRPr="00405EAB">
              <w:t>school administration.</w:t>
            </w:r>
          </w:p>
          <w:p w14:paraId="16A33D0A" w14:textId="77777777" w:rsidR="00CA7371" w:rsidRPr="00FA5ACA" w:rsidRDefault="00CA7371" w:rsidP="001E471D">
            <w:pPr>
              <w:ind w:left="612" w:hanging="612"/>
            </w:pPr>
            <w:r>
              <w:t>10(7)</w:t>
            </w:r>
            <w:r>
              <w:tab/>
              <w:t>I</w:t>
            </w:r>
            <w:r w:rsidRPr="00405EAB">
              <w:t>ntegrate assessment data into a plan for self-improvement.</w:t>
            </w:r>
          </w:p>
        </w:tc>
        <w:tc>
          <w:tcPr>
            <w:tcW w:w="7290" w:type="dxa"/>
          </w:tcPr>
          <w:p w14:paraId="0F696DCB" w14:textId="77777777" w:rsidR="00CA7371" w:rsidRPr="00FA5ACA" w:rsidRDefault="00CA7371" w:rsidP="002C2385"/>
        </w:tc>
      </w:tr>
      <w:tr w:rsidR="00CA7371" w:rsidRPr="00FA5ACA" w14:paraId="64680A31" w14:textId="77777777" w:rsidTr="001E471D">
        <w:trPr>
          <w:cantSplit/>
        </w:trPr>
        <w:tc>
          <w:tcPr>
            <w:tcW w:w="5868" w:type="dxa"/>
          </w:tcPr>
          <w:p w14:paraId="265C290E" w14:textId="77777777" w:rsidR="00CA7371" w:rsidRPr="00A1598A" w:rsidRDefault="00CA7371" w:rsidP="001E471D">
            <w:r w:rsidRPr="00A1598A">
              <w:lastRenderedPageBreak/>
              <w:t xml:space="preserve">Advanced Preparation Program </w:t>
            </w:r>
          </w:p>
          <w:p w14:paraId="389FD800" w14:textId="77777777" w:rsidR="00CA7371" w:rsidRPr="00716B83" w:rsidRDefault="00CA7371" w:rsidP="001E471D">
            <w:pPr>
              <w:rPr>
                <w:i/>
              </w:rPr>
            </w:pPr>
            <w:r w:rsidRPr="00716B83">
              <w:rPr>
                <w:i/>
              </w:rPr>
              <w:t>To obtain the professional credential, teachers may complete a program of advanced preparation that provides opportunities to demonstrate teaching competency through multiple measures.</w:t>
            </w:r>
          </w:p>
          <w:p w14:paraId="672E50A3" w14:textId="77777777" w:rsidR="00CA7371" w:rsidRPr="00716B83" w:rsidRDefault="00CA7371" w:rsidP="001E471D">
            <w:r w:rsidRPr="00716B83">
              <w:t>CTE teacher outcomes include demonstration of candidates’ abilities to:</w:t>
            </w:r>
          </w:p>
          <w:p w14:paraId="76D878D8" w14:textId="77777777" w:rsidR="00CA7371" w:rsidRPr="00405EAB" w:rsidRDefault="00CA7371" w:rsidP="001E471D">
            <w:pPr>
              <w:ind w:left="612" w:hanging="612"/>
            </w:pPr>
            <w:r>
              <w:t>10(a)</w:t>
            </w:r>
            <w:r>
              <w:tab/>
              <w:t>E</w:t>
            </w:r>
            <w:r w:rsidRPr="00405EAB">
              <w:t>valuate assessment practices</w:t>
            </w:r>
            <w:r w:rsidRPr="0099738E">
              <w:t xml:space="preserve"> </w:t>
            </w:r>
            <w:r w:rsidRPr="00405EAB">
              <w:t>for effectiveness</w:t>
            </w:r>
            <w:r>
              <w:t xml:space="preserve"> </w:t>
            </w:r>
            <w:r w:rsidRPr="00405EAB">
              <w:t>and appropriateness, inc</w:t>
            </w:r>
            <w:r>
              <w:t>luding student self-assessments.</w:t>
            </w:r>
            <w:r w:rsidRPr="00405EAB">
              <w:t xml:space="preserve"> </w:t>
            </w:r>
          </w:p>
          <w:p w14:paraId="69A0EB6E" w14:textId="77777777" w:rsidR="00CA7371" w:rsidRPr="00FA5ACA" w:rsidRDefault="00CA7371" w:rsidP="001E471D">
            <w:pPr>
              <w:ind w:left="612" w:hanging="612"/>
            </w:pPr>
            <w:r>
              <w:t>10(b)</w:t>
            </w:r>
            <w:r>
              <w:tab/>
              <w:t>C</w:t>
            </w:r>
            <w:r w:rsidRPr="00405EAB">
              <w:t>ollect and interpret assessment data relative to the student achievement of the</w:t>
            </w:r>
            <w:r>
              <w:t xml:space="preserve"> </w:t>
            </w:r>
            <w:r w:rsidRPr="00405EAB">
              <w:t xml:space="preserve">content standards, including </w:t>
            </w:r>
            <w:r>
              <w:t xml:space="preserve">data </w:t>
            </w:r>
            <w:r w:rsidRPr="00405EAB">
              <w:t>for English learners.</w:t>
            </w:r>
          </w:p>
        </w:tc>
        <w:tc>
          <w:tcPr>
            <w:tcW w:w="7290" w:type="dxa"/>
          </w:tcPr>
          <w:p w14:paraId="5D74C9A1" w14:textId="77777777" w:rsidR="00CA7371" w:rsidRPr="00FA5ACA" w:rsidRDefault="00CA7371" w:rsidP="002C2385"/>
        </w:tc>
      </w:tr>
    </w:tbl>
    <w:p w14:paraId="065BD870" w14:textId="77777777" w:rsidR="00AA09B0" w:rsidRPr="00627697" w:rsidRDefault="00AA09B0" w:rsidP="002C2385">
      <w:pPr>
        <w:autoSpaceDE w:val="0"/>
        <w:autoSpaceDN w:val="0"/>
        <w:adjustRightInd w:val="0"/>
        <w:spacing w:after="0" w:line="240" w:lineRule="auto"/>
        <w:rPr>
          <w:szCs w:val="20"/>
          <w:lang w:bidi="ar-SA"/>
        </w:rPr>
      </w:pPr>
    </w:p>
    <w:p w14:paraId="0C8B03FA" w14:textId="77777777" w:rsidR="00AA09B0" w:rsidRPr="00627697" w:rsidRDefault="00AA09B0" w:rsidP="002C2385">
      <w:pPr>
        <w:rPr>
          <w:szCs w:val="20"/>
          <w:lang w:bidi="ar-SA"/>
        </w:rPr>
      </w:pPr>
      <w:r w:rsidRPr="00627697">
        <w:rPr>
          <w:szCs w:val="20"/>
          <w:lang w:bidi="ar-SA"/>
        </w:rPr>
        <w:br w:type="page"/>
      </w:r>
    </w:p>
    <w:p w14:paraId="4C2445A4" w14:textId="4A08B547" w:rsidR="00AA09B0" w:rsidRDefault="00AA09B0" w:rsidP="001E471D">
      <w:pPr>
        <w:pStyle w:val="Heading4"/>
      </w:pPr>
      <w:bookmarkStart w:id="43" w:name="_Toc262297440"/>
      <w:r w:rsidRPr="00627697">
        <w:lastRenderedPageBreak/>
        <w:t xml:space="preserve">Standard 11: Using Education Technology in the </w:t>
      </w:r>
      <w:r w:rsidRPr="00D25A87">
        <w:t>Classroom</w:t>
      </w:r>
      <w:bookmarkEnd w:id="43"/>
    </w:p>
    <w:p w14:paraId="4B1F4A65" w14:textId="77777777" w:rsidR="001E471D" w:rsidRPr="001E471D" w:rsidRDefault="001E471D" w:rsidP="001E471D">
      <w:pPr>
        <w:spacing w:after="0" w:line="240" w:lineRule="auto"/>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7290"/>
      </w:tblGrid>
      <w:tr w:rsidR="00CA7371" w:rsidRPr="001E471D" w14:paraId="46D40DD8" w14:textId="77777777" w:rsidTr="00633FF6">
        <w:trPr>
          <w:cantSplit/>
          <w:trHeight w:val="490"/>
          <w:tblHeader/>
        </w:trPr>
        <w:tc>
          <w:tcPr>
            <w:tcW w:w="5868" w:type="dxa"/>
          </w:tcPr>
          <w:p w14:paraId="26908AC8" w14:textId="77777777" w:rsidR="00CA7371" w:rsidRPr="001E471D" w:rsidRDefault="00CA7371" w:rsidP="001E471D">
            <w:pPr>
              <w:jc w:val="center"/>
              <w:rPr>
                <w:b/>
                <w:bCs/>
              </w:rPr>
            </w:pPr>
            <w:r w:rsidRPr="001E471D">
              <w:rPr>
                <w:b/>
                <w:bCs/>
              </w:rPr>
              <w:t>Standard</w:t>
            </w:r>
          </w:p>
        </w:tc>
        <w:tc>
          <w:tcPr>
            <w:tcW w:w="7290" w:type="dxa"/>
          </w:tcPr>
          <w:p w14:paraId="1228EB35" w14:textId="77777777" w:rsidR="00CA7371" w:rsidRPr="001E471D" w:rsidRDefault="00CA7371" w:rsidP="001E471D">
            <w:pPr>
              <w:jc w:val="center"/>
              <w:rPr>
                <w:b/>
                <w:bCs/>
                <w:color w:val="000000"/>
              </w:rPr>
            </w:pPr>
            <w:r w:rsidRPr="001E471D">
              <w:rPr>
                <w:b/>
                <w:bCs/>
                <w:color w:val="000000"/>
              </w:rPr>
              <w:t>Narrative Addressing Standard—hyperlink to supporting documentation</w:t>
            </w:r>
          </w:p>
        </w:tc>
      </w:tr>
      <w:tr w:rsidR="00CA7371" w:rsidRPr="00FA5ACA" w14:paraId="1C9D2A2F" w14:textId="77777777" w:rsidTr="00633FF6">
        <w:trPr>
          <w:cantSplit/>
          <w:trHeight w:val="1916"/>
        </w:trPr>
        <w:tc>
          <w:tcPr>
            <w:tcW w:w="5868" w:type="dxa"/>
          </w:tcPr>
          <w:p w14:paraId="0FB360F1" w14:textId="7455BDCB" w:rsidR="00CA7371" w:rsidRPr="00FA5ACA" w:rsidRDefault="00CA7371" w:rsidP="00051104">
            <w:r>
              <w:t>CTE teachers</w:t>
            </w:r>
            <w:r w:rsidRPr="00405EAB">
              <w:rPr>
                <w:rFonts w:eastAsia="Times"/>
              </w:rPr>
              <w:t xml:space="preserve"> select and use computer-based technology to facilitate the </w:t>
            </w:r>
            <w:r w:rsidRPr="00405EAB">
              <w:t xml:space="preserve">teaching and learning process in the CTE classroom. </w:t>
            </w:r>
            <w:r>
              <w:t>CTE teachers</w:t>
            </w:r>
            <w:r w:rsidRPr="00405EAB">
              <w:t xml:space="preserve"> demonstrate understanding of the legal and ethical issues concerned with the use of education technology for CTE. </w:t>
            </w:r>
            <w:r>
              <w:t>CTE teachers</w:t>
            </w:r>
            <w:r w:rsidRPr="00405EAB">
              <w:rPr>
                <w:rFonts w:eastAsia="Times"/>
              </w:rPr>
              <w:t xml:space="preserve"> </w:t>
            </w:r>
            <w:r w:rsidRPr="00405EAB">
              <w:t>appropriately use computer-based technology for information collection, analysis</w:t>
            </w:r>
            <w:r>
              <w:t>,</w:t>
            </w:r>
            <w:r w:rsidRPr="00405EAB">
              <w:t xml:space="preserve"> and management in the instructional setting.</w:t>
            </w:r>
          </w:p>
        </w:tc>
        <w:tc>
          <w:tcPr>
            <w:tcW w:w="7290" w:type="dxa"/>
          </w:tcPr>
          <w:p w14:paraId="6F9AB1A0" w14:textId="77777777" w:rsidR="00CA7371" w:rsidRPr="00FA5ACA" w:rsidRDefault="00CA7371" w:rsidP="002C2385"/>
        </w:tc>
      </w:tr>
      <w:tr w:rsidR="00CA7371" w:rsidRPr="00FA5ACA" w14:paraId="009C1F5B" w14:textId="77777777" w:rsidTr="00633FF6">
        <w:trPr>
          <w:cantSplit/>
        </w:trPr>
        <w:tc>
          <w:tcPr>
            <w:tcW w:w="5868" w:type="dxa"/>
          </w:tcPr>
          <w:p w14:paraId="546805A5" w14:textId="77777777" w:rsidR="00CA7371" w:rsidRPr="00A1598A" w:rsidRDefault="00CA7371" w:rsidP="00051104">
            <w:r w:rsidRPr="00A1598A">
              <w:lastRenderedPageBreak/>
              <w:t xml:space="preserve">Initial Preparation Program </w:t>
            </w:r>
          </w:p>
          <w:p w14:paraId="35AD6A1A" w14:textId="77777777" w:rsidR="00CA7371" w:rsidRPr="00716B83" w:rsidRDefault="00CA7371" w:rsidP="00051104">
            <w:r w:rsidRPr="00716B83">
              <w:t>CTE teacher outcomes include demonstration of candidates’ abilities to:</w:t>
            </w:r>
          </w:p>
          <w:p w14:paraId="58CC3525" w14:textId="77777777" w:rsidR="00CA7371" w:rsidRPr="00405EAB" w:rsidRDefault="00CA7371" w:rsidP="00051104">
            <w:pPr>
              <w:ind w:left="612" w:hanging="612"/>
            </w:pPr>
            <w:r>
              <w:t>11(1)</w:t>
            </w:r>
            <w:r>
              <w:tab/>
              <w:t>U</w:t>
            </w:r>
            <w:r w:rsidRPr="00405EAB">
              <w:t>se established criteria to select available education technology resources to</w:t>
            </w:r>
            <w:r>
              <w:t xml:space="preserve"> </w:t>
            </w:r>
            <w:r w:rsidRPr="00405EAB">
              <w:t>support, manage</w:t>
            </w:r>
            <w:r>
              <w:t>,</w:t>
            </w:r>
            <w:r w:rsidRPr="00405EAB">
              <w:t xml:space="preserve"> and enhance student learning and design lessons accordingly.  </w:t>
            </w:r>
          </w:p>
          <w:p w14:paraId="2D1FB425" w14:textId="77777777" w:rsidR="00CA7371" w:rsidRPr="00405EAB" w:rsidRDefault="00CA7371" w:rsidP="00051104">
            <w:pPr>
              <w:ind w:left="612" w:hanging="612"/>
            </w:pPr>
            <w:r>
              <w:t>11(2)</w:t>
            </w:r>
            <w:r>
              <w:tab/>
              <w:t>P</w:t>
            </w:r>
            <w:r w:rsidRPr="00405EAB">
              <w:t xml:space="preserve">erform basic operations of computer hardware and </w:t>
            </w:r>
            <w:proofErr w:type="gramStart"/>
            <w:r w:rsidRPr="00405EAB">
              <w:t>software, and</w:t>
            </w:r>
            <w:proofErr w:type="gramEnd"/>
            <w:r w:rsidRPr="00405EAB">
              <w:t xml:space="preserve"> implement</w:t>
            </w:r>
            <w:r>
              <w:t xml:space="preserve"> </w:t>
            </w:r>
            <w:r w:rsidRPr="00405EAB">
              <w:t>basic troubleshooting techniques for computer systems and related peripheral</w:t>
            </w:r>
            <w:r>
              <w:t xml:space="preserve"> </w:t>
            </w:r>
            <w:r w:rsidRPr="00405EAB">
              <w:t>devices.</w:t>
            </w:r>
          </w:p>
          <w:p w14:paraId="344EB1E7" w14:textId="77777777" w:rsidR="00CA7371" w:rsidRPr="00405EAB" w:rsidRDefault="00CA7371" w:rsidP="00051104">
            <w:pPr>
              <w:ind w:left="612" w:hanging="612"/>
            </w:pPr>
            <w:r>
              <w:t>11(3)</w:t>
            </w:r>
            <w:r>
              <w:tab/>
              <w:t>U</w:t>
            </w:r>
            <w:r w:rsidRPr="00405EAB">
              <w:t>se computer applications to</w:t>
            </w:r>
            <w:r>
              <w:t xml:space="preserve"> manage records and </w:t>
            </w:r>
            <w:r w:rsidRPr="00405EAB">
              <w:t>communicate through</w:t>
            </w:r>
            <w:r>
              <w:t xml:space="preserve"> </w:t>
            </w:r>
            <w:r w:rsidRPr="00405EAB">
              <w:t xml:space="preserve">printed media. </w:t>
            </w:r>
          </w:p>
          <w:p w14:paraId="4A0BC92D" w14:textId="77777777" w:rsidR="00CA7371" w:rsidRPr="00405EAB" w:rsidRDefault="00CA7371" w:rsidP="00051104">
            <w:pPr>
              <w:ind w:left="612" w:hanging="612"/>
            </w:pPr>
            <w:r>
              <w:t>11(4)</w:t>
            </w:r>
            <w:r>
              <w:tab/>
              <w:t>I</w:t>
            </w:r>
            <w:r w:rsidRPr="00405EAB">
              <w:t xml:space="preserve">nteract with students using electronic communication and a variety of computer-based collaborative tools. </w:t>
            </w:r>
          </w:p>
          <w:p w14:paraId="4131B085" w14:textId="77777777" w:rsidR="00CA7371" w:rsidRPr="00FA5ACA" w:rsidRDefault="00CA7371" w:rsidP="00051104">
            <w:pPr>
              <w:ind w:left="612" w:hanging="612"/>
            </w:pPr>
            <w:r>
              <w:t>11(5)</w:t>
            </w:r>
            <w:r>
              <w:tab/>
              <w:t xml:space="preserve">Convey </w:t>
            </w:r>
            <w:r w:rsidRPr="00405EAB">
              <w:t xml:space="preserve">issues of ethics, copyright, privacy, security, safety, local and state policies for computer use. </w:t>
            </w:r>
          </w:p>
        </w:tc>
        <w:tc>
          <w:tcPr>
            <w:tcW w:w="7290" w:type="dxa"/>
          </w:tcPr>
          <w:p w14:paraId="2A4DAABF" w14:textId="77777777" w:rsidR="00CA7371" w:rsidRPr="00FA5ACA" w:rsidRDefault="00CA7371" w:rsidP="002C2385"/>
        </w:tc>
      </w:tr>
      <w:tr w:rsidR="00CA7371" w:rsidRPr="00FA5ACA" w14:paraId="21ACB77F" w14:textId="77777777" w:rsidTr="00633FF6">
        <w:trPr>
          <w:cantSplit/>
        </w:trPr>
        <w:tc>
          <w:tcPr>
            <w:tcW w:w="5868" w:type="dxa"/>
          </w:tcPr>
          <w:p w14:paraId="006BA1DB" w14:textId="77777777" w:rsidR="00CA7371" w:rsidRPr="00716B83" w:rsidRDefault="00CA7371" w:rsidP="00633FF6">
            <w:r w:rsidRPr="00716B83">
              <w:lastRenderedPageBreak/>
              <w:t xml:space="preserve">Advanced Preparation Program </w:t>
            </w:r>
          </w:p>
          <w:p w14:paraId="3C2D0017" w14:textId="77777777" w:rsidR="00CA7371" w:rsidRPr="00716B83" w:rsidRDefault="00CA7371" w:rsidP="00633FF6">
            <w:pPr>
              <w:rPr>
                <w:i/>
              </w:rPr>
            </w:pPr>
            <w:r w:rsidRPr="00716B83">
              <w:rPr>
                <w:i/>
              </w:rPr>
              <w:t>To obtain the professional credential, teachers may complete a program of advanced preparation that provides opportunities to demonstrate teaching competency through multiple measures.</w:t>
            </w:r>
          </w:p>
          <w:p w14:paraId="256933CE" w14:textId="77777777" w:rsidR="00CA7371" w:rsidRPr="00716B83" w:rsidRDefault="00CA7371" w:rsidP="00633FF6">
            <w:r w:rsidRPr="00716B83">
              <w:t>CTE teacher outcomes include demonstration of candidates’ abilities to:</w:t>
            </w:r>
          </w:p>
          <w:p w14:paraId="4FF52EF7" w14:textId="77777777" w:rsidR="00CA7371" w:rsidRPr="00405EAB" w:rsidRDefault="00CA7371" w:rsidP="00633FF6">
            <w:pPr>
              <w:ind w:left="612" w:hanging="612"/>
            </w:pPr>
            <w:r>
              <w:t>11(a)</w:t>
            </w:r>
            <w:r>
              <w:tab/>
              <w:t>U</w:t>
            </w:r>
            <w:r w:rsidRPr="00405EAB">
              <w:t>se electronic research tools and assess the authenticity, reliability</w:t>
            </w:r>
            <w:r>
              <w:t>,</w:t>
            </w:r>
            <w:r w:rsidRPr="00405EAB">
              <w:t xml:space="preserve"> and </w:t>
            </w:r>
            <w:r>
              <w:t xml:space="preserve">possible </w:t>
            </w:r>
            <w:r w:rsidRPr="00405EAB">
              <w:t xml:space="preserve">bias of the data gathered. </w:t>
            </w:r>
          </w:p>
          <w:p w14:paraId="0C179E5D" w14:textId="77777777" w:rsidR="00CA7371" w:rsidRPr="00405EAB" w:rsidRDefault="00CA7371" w:rsidP="00633FF6">
            <w:pPr>
              <w:ind w:left="612" w:hanging="612"/>
            </w:pPr>
            <w:r>
              <w:t>11(b)</w:t>
            </w:r>
            <w:r>
              <w:tab/>
              <w:t>Fluently use technology</w:t>
            </w:r>
            <w:r w:rsidRPr="00405EAB">
              <w:t xml:space="preserve"> to access and evaluate information,</w:t>
            </w:r>
            <w:r>
              <w:t xml:space="preserve"> </w:t>
            </w:r>
            <w:proofErr w:type="gramStart"/>
            <w:r w:rsidRPr="00405EAB">
              <w:t>analyze</w:t>
            </w:r>
            <w:proofErr w:type="gramEnd"/>
            <w:r w:rsidRPr="00405EAB">
              <w:t xml:space="preserve"> and solve problems, and communicate. </w:t>
            </w:r>
          </w:p>
          <w:p w14:paraId="01230718" w14:textId="77777777" w:rsidR="00CA7371" w:rsidRPr="00405EAB" w:rsidRDefault="00CA7371" w:rsidP="00633FF6">
            <w:pPr>
              <w:ind w:left="612" w:hanging="612"/>
            </w:pPr>
            <w:r>
              <w:t>11(c)</w:t>
            </w:r>
            <w:r>
              <w:tab/>
              <w:t>I</w:t>
            </w:r>
            <w:r w:rsidRPr="00405EAB">
              <w:t>ntegrate technology into curriculum-based lessons for all students to help them</w:t>
            </w:r>
            <w:r>
              <w:t xml:space="preserve"> </w:t>
            </w:r>
            <w:r w:rsidRPr="00405EAB">
              <w:t xml:space="preserve">acquire information literacy and </w:t>
            </w:r>
            <w:proofErr w:type="gramStart"/>
            <w:r w:rsidRPr="00405EAB">
              <w:t>problem solving</w:t>
            </w:r>
            <w:proofErr w:type="gramEnd"/>
            <w:r w:rsidRPr="00405EAB">
              <w:t xml:space="preserve"> skills. </w:t>
            </w:r>
          </w:p>
          <w:p w14:paraId="37D3C4C3" w14:textId="77777777" w:rsidR="00CA7371" w:rsidRPr="00FA5ACA" w:rsidRDefault="00CA7371" w:rsidP="00633FF6">
            <w:pPr>
              <w:ind w:left="612" w:hanging="612"/>
            </w:pPr>
            <w:r>
              <w:t>11(d)</w:t>
            </w:r>
            <w:r>
              <w:tab/>
              <w:t>U</w:t>
            </w:r>
            <w:r w:rsidRPr="00405EAB">
              <w:t xml:space="preserve">se assessment of student information literacy and </w:t>
            </w:r>
            <w:proofErr w:type="gramStart"/>
            <w:r w:rsidRPr="00405EAB">
              <w:t>problem solving</w:t>
            </w:r>
            <w:proofErr w:type="gramEnd"/>
            <w:r w:rsidRPr="00405EAB">
              <w:t xml:space="preserve"> skills to adapt</w:t>
            </w:r>
            <w:r>
              <w:t xml:space="preserve"> </w:t>
            </w:r>
            <w:r w:rsidRPr="00405EAB">
              <w:t xml:space="preserve">subsequent lessons. </w:t>
            </w:r>
          </w:p>
        </w:tc>
        <w:tc>
          <w:tcPr>
            <w:tcW w:w="7290" w:type="dxa"/>
          </w:tcPr>
          <w:p w14:paraId="52304AA7" w14:textId="77777777" w:rsidR="00CA7371" w:rsidRPr="00FA5ACA" w:rsidRDefault="00CA7371" w:rsidP="002C2385"/>
        </w:tc>
      </w:tr>
    </w:tbl>
    <w:p w14:paraId="7A0839E8" w14:textId="77777777" w:rsidR="00AA09B0" w:rsidRPr="00627697" w:rsidRDefault="00AA09B0" w:rsidP="002C2385">
      <w:pPr>
        <w:autoSpaceDE w:val="0"/>
        <w:autoSpaceDN w:val="0"/>
        <w:adjustRightInd w:val="0"/>
        <w:spacing w:after="0" w:line="240" w:lineRule="auto"/>
        <w:rPr>
          <w:szCs w:val="20"/>
          <w:lang w:bidi="ar-SA"/>
        </w:rPr>
      </w:pPr>
    </w:p>
    <w:p w14:paraId="28A27105" w14:textId="77777777" w:rsidR="00AA09B0" w:rsidRPr="00627697" w:rsidRDefault="00AA09B0" w:rsidP="002C2385">
      <w:pPr>
        <w:rPr>
          <w:szCs w:val="20"/>
          <w:lang w:bidi="ar-SA"/>
        </w:rPr>
      </w:pPr>
      <w:r w:rsidRPr="00627697">
        <w:rPr>
          <w:szCs w:val="20"/>
          <w:lang w:bidi="ar-SA"/>
        </w:rPr>
        <w:br w:type="page"/>
      </w:r>
    </w:p>
    <w:p w14:paraId="7AD68A7B" w14:textId="419469BE" w:rsidR="00AA09B0" w:rsidRDefault="00AA09B0" w:rsidP="007D0303">
      <w:pPr>
        <w:pStyle w:val="Heading4"/>
      </w:pPr>
      <w:bookmarkStart w:id="44" w:name="_Toc262297441"/>
      <w:r w:rsidRPr="00627697">
        <w:lastRenderedPageBreak/>
        <w:t xml:space="preserve">Standard 12: Classroom and Laboratory </w:t>
      </w:r>
      <w:r w:rsidRPr="00D25A87">
        <w:t>Management</w:t>
      </w:r>
      <w:bookmarkEnd w:id="44"/>
    </w:p>
    <w:p w14:paraId="75A9734A" w14:textId="77777777" w:rsidR="007D0303" w:rsidRPr="007D0303" w:rsidRDefault="007D0303" w:rsidP="007D0303">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1"/>
        <w:gridCol w:w="7249"/>
      </w:tblGrid>
      <w:tr w:rsidR="00CA7371" w:rsidRPr="007D0303" w14:paraId="52F9B062" w14:textId="77777777" w:rsidTr="007D0303">
        <w:trPr>
          <w:cantSplit/>
          <w:trHeight w:val="490"/>
          <w:tblHeader/>
        </w:trPr>
        <w:tc>
          <w:tcPr>
            <w:tcW w:w="5778" w:type="dxa"/>
          </w:tcPr>
          <w:p w14:paraId="138B7D55" w14:textId="77777777" w:rsidR="00CA7371" w:rsidRPr="007D0303" w:rsidRDefault="00CA7371" w:rsidP="007D0303">
            <w:pPr>
              <w:jc w:val="center"/>
              <w:rPr>
                <w:b/>
                <w:bCs/>
              </w:rPr>
            </w:pPr>
            <w:r w:rsidRPr="007D0303">
              <w:rPr>
                <w:b/>
                <w:bCs/>
              </w:rPr>
              <w:t>Standard</w:t>
            </w:r>
          </w:p>
        </w:tc>
        <w:tc>
          <w:tcPr>
            <w:tcW w:w="7380" w:type="dxa"/>
          </w:tcPr>
          <w:p w14:paraId="6953E80A" w14:textId="77777777" w:rsidR="00CA7371" w:rsidRPr="007D0303" w:rsidRDefault="00CA7371" w:rsidP="007D0303">
            <w:pPr>
              <w:jc w:val="center"/>
              <w:rPr>
                <w:b/>
                <w:bCs/>
                <w:color w:val="000000"/>
              </w:rPr>
            </w:pPr>
            <w:r w:rsidRPr="007D0303">
              <w:rPr>
                <w:b/>
                <w:bCs/>
                <w:color w:val="000000"/>
              </w:rPr>
              <w:t>Narrative Addressing Standard—hyperlink to supporting documentation</w:t>
            </w:r>
          </w:p>
        </w:tc>
      </w:tr>
      <w:tr w:rsidR="00CA7371" w:rsidRPr="00FA5ACA" w14:paraId="4E414350" w14:textId="77777777" w:rsidTr="007D0303">
        <w:trPr>
          <w:cantSplit/>
        </w:trPr>
        <w:tc>
          <w:tcPr>
            <w:tcW w:w="5778" w:type="dxa"/>
          </w:tcPr>
          <w:p w14:paraId="4FF076E4" w14:textId="77777777" w:rsidR="00CA7371" w:rsidRPr="00FA5ACA" w:rsidRDefault="00CA7371" w:rsidP="007D0303">
            <w:r w:rsidRPr="00405EAB">
              <w:t xml:space="preserve">Candidates use effective classroom management strategies to promote learning and preserve student safety. </w:t>
            </w:r>
            <w:r w:rsidRPr="00405EAB">
              <w:rPr>
                <w:bCs/>
              </w:rPr>
              <w:t xml:space="preserve">Candidates demonstrate proficiency in the operation and maintenance of a facility for career technical education that </w:t>
            </w:r>
            <w:r w:rsidRPr="00405EAB">
              <w:t>contains sophisticated and dangerous equipment, machines</w:t>
            </w:r>
            <w:r>
              <w:t>,</w:t>
            </w:r>
            <w:r w:rsidRPr="00405EAB">
              <w:t xml:space="preserve"> and instruments.</w:t>
            </w:r>
            <w:r w:rsidRPr="00405EAB">
              <w:rPr>
                <w:bCs/>
              </w:rPr>
              <w:t xml:space="preserve"> </w:t>
            </w:r>
            <w:r w:rsidRPr="00405EAB">
              <w:t xml:space="preserve">The program provides candidates with a thorough grounding in the theory, practice, and legal implications of safe facility management and the development of an effective learning environment. </w:t>
            </w:r>
          </w:p>
        </w:tc>
        <w:tc>
          <w:tcPr>
            <w:tcW w:w="7380" w:type="dxa"/>
          </w:tcPr>
          <w:p w14:paraId="570DFA1E" w14:textId="77777777" w:rsidR="00CA7371" w:rsidRPr="00FA5ACA" w:rsidRDefault="00CA7371" w:rsidP="002C2385"/>
        </w:tc>
      </w:tr>
      <w:tr w:rsidR="00CA7371" w:rsidRPr="00FA5ACA" w14:paraId="51927C7A" w14:textId="77777777" w:rsidTr="007D0303">
        <w:trPr>
          <w:cantSplit/>
        </w:trPr>
        <w:tc>
          <w:tcPr>
            <w:tcW w:w="5778" w:type="dxa"/>
          </w:tcPr>
          <w:p w14:paraId="38C03BEA" w14:textId="77777777" w:rsidR="00CA7371" w:rsidRPr="00716B83" w:rsidRDefault="00CA7371" w:rsidP="007D0303">
            <w:r w:rsidRPr="00716B83">
              <w:lastRenderedPageBreak/>
              <w:t xml:space="preserve">Initial Preparation Program </w:t>
            </w:r>
          </w:p>
          <w:p w14:paraId="41C75068" w14:textId="77777777" w:rsidR="00CA7371" w:rsidRPr="00716B83" w:rsidRDefault="00CA7371" w:rsidP="007D0303">
            <w:r w:rsidRPr="00716B83">
              <w:t>CTE teacher outcomes include demonstration of candidates’ abilities to:</w:t>
            </w:r>
          </w:p>
          <w:p w14:paraId="16647BCD" w14:textId="77777777" w:rsidR="00CA7371" w:rsidRPr="00405EAB" w:rsidRDefault="00CA7371" w:rsidP="007D0303">
            <w:pPr>
              <w:ind w:left="612" w:hanging="612"/>
            </w:pPr>
            <w:r>
              <w:t>12(1)</w:t>
            </w:r>
            <w:r>
              <w:tab/>
              <w:t>D</w:t>
            </w:r>
            <w:r w:rsidRPr="00405EAB">
              <w:t>esign and provide a safe, positive instructional environment conducive to</w:t>
            </w:r>
            <w:r>
              <w:t xml:space="preserve"> </w:t>
            </w:r>
            <w:r w:rsidRPr="00405EAB">
              <w:t>learning.</w:t>
            </w:r>
          </w:p>
          <w:p w14:paraId="27EE2F08" w14:textId="77777777" w:rsidR="00CA7371" w:rsidRPr="00405EAB" w:rsidRDefault="00CA7371" w:rsidP="007D0303">
            <w:pPr>
              <w:ind w:left="612" w:hanging="612"/>
            </w:pPr>
            <w:r>
              <w:t>12(2)</w:t>
            </w:r>
            <w:r>
              <w:tab/>
              <w:t>M</w:t>
            </w:r>
            <w:r w:rsidRPr="00405EAB">
              <w:t>aintain good house</w:t>
            </w:r>
            <w:r>
              <w:t>keeping practices and records of</w:t>
            </w:r>
            <w:r w:rsidRPr="00405EAB">
              <w:t xml:space="preserve"> the classroom and</w:t>
            </w:r>
            <w:r>
              <w:t xml:space="preserve"> </w:t>
            </w:r>
            <w:r w:rsidRPr="00405EAB">
              <w:t>laboratory.</w:t>
            </w:r>
          </w:p>
          <w:p w14:paraId="778F0B49" w14:textId="77777777" w:rsidR="00CA7371" w:rsidRPr="00405EAB" w:rsidRDefault="00CA7371" w:rsidP="007D0303">
            <w:pPr>
              <w:ind w:left="612" w:hanging="612"/>
            </w:pPr>
            <w:r>
              <w:t>12(3)</w:t>
            </w:r>
            <w:r>
              <w:tab/>
              <w:t>D</w:t>
            </w:r>
            <w:r w:rsidRPr="00405EAB">
              <w:t>evelop and implement a plan for preventive maintenance of equipment or</w:t>
            </w:r>
            <w:r>
              <w:t xml:space="preserve"> </w:t>
            </w:r>
            <w:r w:rsidRPr="00405EAB">
              <w:t>instruments and for their replacement.</w:t>
            </w:r>
          </w:p>
          <w:p w14:paraId="45B0F75D" w14:textId="77777777" w:rsidR="00CA7371" w:rsidRPr="00405EAB" w:rsidRDefault="00CA7371" w:rsidP="007D0303">
            <w:pPr>
              <w:ind w:left="612" w:hanging="612"/>
            </w:pPr>
            <w:r>
              <w:t>12(4)</w:t>
            </w:r>
            <w:r>
              <w:tab/>
              <w:t>D</w:t>
            </w:r>
            <w:r w:rsidRPr="00405EAB">
              <w:t>emonstrate attitudes and operate classrooms consistent with safe and legal</w:t>
            </w:r>
            <w:r>
              <w:t xml:space="preserve"> </w:t>
            </w:r>
            <w:r w:rsidRPr="00405EAB">
              <w:t>practices in the school and workplace.</w:t>
            </w:r>
          </w:p>
          <w:p w14:paraId="310E90C4" w14:textId="77777777" w:rsidR="00CA7371" w:rsidRPr="00405EAB" w:rsidRDefault="00CA7371" w:rsidP="007D0303">
            <w:pPr>
              <w:ind w:left="702" w:hanging="702"/>
            </w:pPr>
            <w:r>
              <w:t>12(5)</w:t>
            </w:r>
            <w:r>
              <w:tab/>
              <w:t>M</w:t>
            </w:r>
            <w:r w:rsidRPr="00405EAB">
              <w:t>anage a class budget, including selection and ordering of supplies and</w:t>
            </w:r>
            <w:r>
              <w:t xml:space="preserve"> </w:t>
            </w:r>
            <w:r w:rsidRPr="00405EAB">
              <w:t>materials.</w:t>
            </w:r>
          </w:p>
          <w:p w14:paraId="16D46AD9" w14:textId="77777777" w:rsidR="00CA7371" w:rsidRPr="00405EAB" w:rsidRDefault="00CA7371" w:rsidP="007D0303">
            <w:pPr>
              <w:ind w:left="702" w:hanging="702"/>
            </w:pPr>
            <w:r>
              <w:t>12(6)</w:t>
            </w:r>
            <w:r>
              <w:tab/>
              <w:t>C</w:t>
            </w:r>
            <w:r w:rsidRPr="00405EAB">
              <w:t>ommunicate clear performance, learning, and behavior expectations to</w:t>
            </w:r>
            <w:r>
              <w:t xml:space="preserve"> </w:t>
            </w:r>
            <w:r w:rsidRPr="00405EAB">
              <w:t>students,</w:t>
            </w:r>
            <w:r>
              <w:t xml:space="preserve"> </w:t>
            </w:r>
            <w:proofErr w:type="gramStart"/>
            <w:r w:rsidRPr="00405EAB">
              <w:t>parents</w:t>
            </w:r>
            <w:proofErr w:type="gramEnd"/>
            <w:r w:rsidRPr="00405EAB">
              <w:t xml:space="preserve"> and school administration.</w:t>
            </w:r>
          </w:p>
          <w:p w14:paraId="6E13D0C9" w14:textId="77777777" w:rsidR="00CA7371" w:rsidRPr="00405EAB" w:rsidRDefault="00CA7371" w:rsidP="007D0303">
            <w:pPr>
              <w:ind w:left="702" w:hanging="702"/>
            </w:pPr>
            <w:r>
              <w:t>12(7)</w:t>
            </w:r>
            <w:r>
              <w:tab/>
              <w:t>E</w:t>
            </w:r>
            <w:r w:rsidRPr="00405EAB">
              <w:t>stablish procedures for routine tasks and manage transitions.</w:t>
            </w:r>
          </w:p>
          <w:p w14:paraId="093D9394" w14:textId="77777777" w:rsidR="00CA7371" w:rsidRPr="00405EAB" w:rsidRDefault="00CA7371" w:rsidP="007D0303">
            <w:pPr>
              <w:ind w:left="702" w:hanging="702"/>
            </w:pPr>
            <w:r>
              <w:t>12(8)</w:t>
            </w:r>
            <w:r>
              <w:tab/>
              <w:t>E</w:t>
            </w:r>
            <w:r w:rsidRPr="00405EAB">
              <w:t>ncourage responsible and independent work habits in students.</w:t>
            </w:r>
          </w:p>
          <w:p w14:paraId="1A533F41" w14:textId="77777777" w:rsidR="00CA7371" w:rsidRPr="00405EAB" w:rsidRDefault="00CA7371" w:rsidP="007D0303">
            <w:pPr>
              <w:ind w:left="702" w:hanging="702"/>
            </w:pPr>
            <w:r>
              <w:lastRenderedPageBreak/>
              <w:t>12(9)</w:t>
            </w:r>
            <w:r>
              <w:tab/>
              <w:t>A</w:t>
            </w:r>
            <w:r w:rsidRPr="00405EAB">
              <w:t>p</w:t>
            </w:r>
            <w:r>
              <w:t>propriately address sensitive issues and</w:t>
            </w:r>
            <w:r w:rsidRPr="00405EAB">
              <w:t xml:space="preserve"> classroom </w:t>
            </w:r>
            <w:r>
              <w:t>interactions to ensure</w:t>
            </w:r>
            <w:r w:rsidRPr="00405EAB">
              <w:t xml:space="preserve"> equitable</w:t>
            </w:r>
            <w:r>
              <w:t xml:space="preserve"> </w:t>
            </w:r>
            <w:r w:rsidRPr="00405EAB">
              <w:t>participation for all students.</w:t>
            </w:r>
          </w:p>
          <w:p w14:paraId="06AE53B8" w14:textId="77777777" w:rsidR="00CA7371" w:rsidRPr="00FA5ACA" w:rsidRDefault="00CA7371" w:rsidP="007D0303">
            <w:pPr>
              <w:ind w:left="702" w:hanging="702"/>
            </w:pPr>
            <w:r>
              <w:t>12(10)</w:t>
            </w:r>
            <w:r>
              <w:tab/>
              <w:t>A</w:t>
            </w:r>
            <w:r w:rsidRPr="00405EAB">
              <w:t>ssess and monitor safe and appropriate workplace environments for students.</w:t>
            </w:r>
          </w:p>
        </w:tc>
        <w:tc>
          <w:tcPr>
            <w:tcW w:w="7380" w:type="dxa"/>
          </w:tcPr>
          <w:p w14:paraId="68CE68AC" w14:textId="77777777" w:rsidR="00CA7371" w:rsidRPr="00FA5ACA" w:rsidRDefault="00CA7371" w:rsidP="002C2385"/>
        </w:tc>
      </w:tr>
      <w:tr w:rsidR="00CA7371" w:rsidRPr="00FA5ACA" w14:paraId="3F69660D" w14:textId="77777777" w:rsidTr="007D0303">
        <w:trPr>
          <w:cantSplit/>
        </w:trPr>
        <w:tc>
          <w:tcPr>
            <w:tcW w:w="5778" w:type="dxa"/>
          </w:tcPr>
          <w:p w14:paraId="7BBE4708" w14:textId="77777777" w:rsidR="00CA7371" w:rsidRPr="00716B83" w:rsidRDefault="00CA7371" w:rsidP="007D0303">
            <w:r w:rsidRPr="00716B83">
              <w:t xml:space="preserve">Advanced Preparation Program </w:t>
            </w:r>
          </w:p>
          <w:p w14:paraId="4DB801A1" w14:textId="77777777" w:rsidR="00CA7371" w:rsidRPr="00F77C09" w:rsidRDefault="00CA7371" w:rsidP="007D0303">
            <w:r w:rsidRPr="00716B83">
              <w:rPr>
                <w:i/>
              </w:rPr>
              <w:t>To obtain the professional credential, teachers may complete a program of advanced preparation that provides opportunities to demonstrate teaching competency through multiple measures</w:t>
            </w:r>
            <w:r w:rsidRPr="00F77C09">
              <w:t>.</w:t>
            </w:r>
          </w:p>
          <w:p w14:paraId="272363EB" w14:textId="77777777" w:rsidR="00CA7371" w:rsidRPr="00716B83" w:rsidRDefault="00CA7371" w:rsidP="007D0303">
            <w:r w:rsidRPr="00716B83">
              <w:t>CTE teacher outcomes include demonstration of candidates’ abilities to:</w:t>
            </w:r>
          </w:p>
          <w:p w14:paraId="13BCED77" w14:textId="77777777" w:rsidR="00CA7371" w:rsidRPr="00405EAB" w:rsidRDefault="00CA7371" w:rsidP="007D0303">
            <w:pPr>
              <w:ind w:left="612" w:hanging="612"/>
            </w:pPr>
            <w:r>
              <w:t>12(a)</w:t>
            </w:r>
            <w:r>
              <w:tab/>
              <w:t>C</w:t>
            </w:r>
            <w:r w:rsidRPr="00405EAB">
              <w:t>reate and maintain an effective classroom environment that promotes student</w:t>
            </w:r>
            <w:r>
              <w:t xml:space="preserve"> </w:t>
            </w:r>
            <w:r w:rsidRPr="00405EAB">
              <w:t xml:space="preserve">achievement. </w:t>
            </w:r>
          </w:p>
          <w:p w14:paraId="51EE9F75" w14:textId="77777777" w:rsidR="00CA7371" w:rsidRPr="00405EAB" w:rsidRDefault="00CA7371" w:rsidP="007D0303">
            <w:pPr>
              <w:ind w:left="612" w:hanging="612"/>
            </w:pPr>
            <w:r>
              <w:t>12(b)</w:t>
            </w:r>
            <w:r>
              <w:tab/>
              <w:t>T</w:t>
            </w:r>
            <w:r w:rsidRPr="00405EAB">
              <w:t>ake appropriate actions to ensure student health and safety, including work with</w:t>
            </w:r>
            <w:r>
              <w:t xml:space="preserve"> </w:t>
            </w:r>
            <w:r w:rsidRPr="00405EAB">
              <w:t xml:space="preserve">families, caregivers, and health professionals.  </w:t>
            </w:r>
          </w:p>
          <w:p w14:paraId="4A68324E" w14:textId="72A15F72" w:rsidR="00CA7371" w:rsidRPr="00FA5ACA" w:rsidRDefault="00CA7371" w:rsidP="007D0303">
            <w:pPr>
              <w:ind w:left="612" w:hanging="612"/>
            </w:pPr>
            <w:r>
              <w:t>12(c)</w:t>
            </w:r>
            <w:r>
              <w:tab/>
              <w:t>U</w:t>
            </w:r>
            <w:r w:rsidRPr="00405EAB">
              <w:t>nderstand and implement the s</w:t>
            </w:r>
            <w:r>
              <w:t>chool's crisis response plan.</w:t>
            </w:r>
          </w:p>
        </w:tc>
        <w:tc>
          <w:tcPr>
            <w:tcW w:w="7380" w:type="dxa"/>
          </w:tcPr>
          <w:p w14:paraId="1A5EBC45" w14:textId="77777777" w:rsidR="00CA7371" w:rsidRPr="00FA5ACA" w:rsidRDefault="00CA7371" w:rsidP="002C2385"/>
        </w:tc>
      </w:tr>
    </w:tbl>
    <w:p w14:paraId="497CE966" w14:textId="77777777" w:rsidR="00AA09B0" w:rsidRPr="00627697" w:rsidRDefault="00AA09B0" w:rsidP="002C2385">
      <w:pPr>
        <w:autoSpaceDE w:val="0"/>
        <w:autoSpaceDN w:val="0"/>
        <w:adjustRightInd w:val="0"/>
        <w:spacing w:after="0" w:line="240" w:lineRule="auto"/>
        <w:rPr>
          <w:szCs w:val="20"/>
          <w:lang w:bidi="ar-SA"/>
        </w:rPr>
      </w:pPr>
    </w:p>
    <w:p w14:paraId="5812BE60" w14:textId="77777777" w:rsidR="000779BC" w:rsidRPr="00627697" w:rsidRDefault="000779BC" w:rsidP="002C2385">
      <w:pPr>
        <w:rPr>
          <w:bCs/>
          <w:szCs w:val="20"/>
          <w:lang w:bidi="ar-SA"/>
        </w:rPr>
      </w:pPr>
      <w:r w:rsidRPr="00627697">
        <w:rPr>
          <w:szCs w:val="20"/>
          <w:lang w:bidi="ar-SA"/>
        </w:rPr>
        <w:br w:type="page"/>
      </w:r>
    </w:p>
    <w:p w14:paraId="621E5E49" w14:textId="571C41D4" w:rsidR="00AA09B0" w:rsidRDefault="00AA09B0" w:rsidP="002E4B62">
      <w:pPr>
        <w:pStyle w:val="Heading4"/>
      </w:pPr>
      <w:bookmarkStart w:id="45" w:name="_Toc262297442"/>
      <w:r w:rsidRPr="00627697">
        <w:lastRenderedPageBreak/>
        <w:t xml:space="preserve">Standard 13: </w:t>
      </w:r>
      <w:r w:rsidRPr="00D25A87">
        <w:t>Foundations</w:t>
      </w:r>
      <w:bookmarkEnd w:id="45"/>
    </w:p>
    <w:p w14:paraId="7216375B" w14:textId="77777777" w:rsidR="00F64F6E" w:rsidRPr="00F64F6E" w:rsidRDefault="00F64F6E" w:rsidP="002E4B62">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2"/>
        <w:gridCol w:w="7158"/>
      </w:tblGrid>
      <w:tr w:rsidR="00CA7371" w:rsidRPr="002E4B62" w14:paraId="336BCBCB" w14:textId="77777777" w:rsidTr="002E4B62">
        <w:trPr>
          <w:cantSplit/>
          <w:trHeight w:val="490"/>
          <w:tblHeader/>
        </w:trPr>
        <w:tc>
          <w:tcPr>
            <w:tcW w:w="5868" w:type="dxa"/>
          </w:tcPr>
          <w:p w14:paraId="42140890" w14:textId="77777777" w:rsidR="00CA7371" w:rsidRPr="002E4B62" w:rsidRDefault="00CA7371" w:rsidP="002E4B62">
            <w:pPr>
              <w:jc w:val="center"/>
              <w:rPr>
                <w:b/>
                <w:bCs/>
              </w:rPr>
            </w:pPr>
            <w:r w:rsidRPr="002E4B62">
              <w:rPr>
                <w:b/>
                <w:bCs/>
              </w:rPr>
              <w:t>Standard</w:t>
            </w:r>
          </w:p>
        </w:tc>
        <w:tc>
          <w:tcPr>
            <w:tcW w:w="7272" w:type="dxa"/>
          </w:tcPr>
          <w:p w14:paraId="15994153" w14:textId="77777777" w:rsidR="00CA7371" w:rsidRPr="002E4B62" w:rsidRDefault="00CA7371" w:rsidP="002E4B62">
            <w:pPr>
              <w:jc w:val="center"/>
              <w:rPr>
                <w:b/>
                <w:bCs/>
                <w:color w:val="000000"/>
              </w:rPr>
            </w:pPr>
            <w:r w:rsidRPr="002E4B62">
              <w:rPr>
                <w:b/>
                <w:bCs/>
                <w:color w:val="000000"/>
              </w:rPr>
              <w:t>Narrative Addressing Standard—hyperlink to supporting documentation</w:t>
            </w:r>
          </w:p>
        </w:tc>
      </w:tr>
      <w:tr w:rsidR="00CA7371" w:rsidRPr="00FA5ACA" w14:paraId="41E374F5" w14:textId="77777777" w:rsidTr="002E4B62">
        <w:trPr>
          <w:cantSplit/>
        </w:trPr>
        <w:tc>
          <w:tcPr>
            <w:tcW w:w="5868" w:type="dxa"/>
          </w:tcPr>
          <w:p w14:paraId="4975FEE4" w14:textId="77777777" w:rsidR="00CA7371" w:rsidRPr="00FA5ACA" w:rsidRDefault="00CA7371" w:rsidP="002E4B62">
            <w:pPr>
              <w:rPr>
                <w:i/>
              </w:rPr>
            </w:pPr>
            <w:r w:rsidRPr="00405EAB">
              <w:t>Candidates study essential themes, concepts</w:t>
            </w:r>
            <w:r>
              <w:t>,</w:t>
            </w:r>
            <w:r w:rsidRPr="00405EAB">
              <w:t xml:space="preserve"> and skills related to the teaching profession, including knowledge of the history and traditions of CTE, its role in the curriculum of public education, and its current ethical issues. Candidates develop a professional perspective by examining contemporary education policies and teaching practices in relation to fundamental issues, </w:t>
            </w:r>
            <w:proofErr w:type="gramStart"/>
            <w:r w:rsidRPr="00405EAB">
              <w:t>theories</w:t>
            </w:r>
            <w:proofErr w:type="gramEnd"/>
            <w:r w:rsidRPr="00405EAB">
              <w:t xml:space="preserve"> and research in education. </w:t>
            </w:r>
          </w:p>
        </w:tc>
        <w:tc>
          <w:tcPr>
            <w:tcW w:w="7272" w:type="dxa"/>
          </w:tcPr>
          <w:p w14:paraId="4EC049FE" w14:textId="77777777" w:rsidR="00CA7371" w:rsidRPr="00FA5ACA" w:rsidRDefault="00CA7371" w:rsidP="002C2385"/>
        </w:tc>
      </w:tr>
      <w:tr w:rsidR="00CA7371" w:rsidRPr="00FA5ACA" w14:paraId="6B419A36" w14:textId="77777777" w:rsidTr="002E4B62">
        <w:trPr>
          <w:cantSplit/>
        </w:trPr>
        <w:tc>
          <w:tcPr>
            <w:tcW w:w="5868" w:type="dxa"/>
          </w:tcPr>
          <w:p w14:paraId="4E0AB31E" w14:textId="77777777" w:rsidR="00CA7371" w:rsidRPr="00A1598A" w:rsidRDefault="00CA7371" w:rsidP="002E4B62">
            <w:r w:rsidRPr="00A1598A">
              <w:lastRenderedPageBreak/>
              <w:t xml:space="preserve">Initial Preparation Program </w:t>
            </w:r>
          </w:p>
          <w:p w14:paraId="0B86771E" w14:textId="77777777" w:rsidR="00CA7371" w:rsidRPr="00A1598A" w:rsidRDefault="00CA7371" w:rsidP="002E4B62">
            <w:r w:rsidRPr="00A1598A">
              <w:t>CTE teacher outcomes include demonstration of candidates’ abilities to:</w:t>
            </w:r>
          </w:p>
          <w:p w14:paraId="40947EFC" w14:textId="77777777" w:rsidR="00CA7371" w:rsidRPr="00405EAB" w:rsidRDefault="00CA7371" w:rsidP="002E4B62">
            <w:pPr>
              <w:ind w:left="612" w:hanging="612"/>
            </w:pPr>
            <w:r>
              <w:t>13(1)</w:t>
            </w:r>
            <w:r>
              <w:tab/>
              <w:t>D</w:t>
            </w:r>
            <w:r w:rsidRPr="00405EAB">
              <w:t>escribe the relationship of historical, legal, social, political, ethical</w:t>
            </w:r>
            <w:r>
              <w:t>,</w:t>
            </w:r>
            <w:r w:rsidRPr="00405EAB">
              <w:t xml:space="preserve"> and economic</w:t>
            </w:r>
            <w:r>
              <w:t xml:space="preserve"> </w:t>
            </w:r>
            <w:r w:rsidRPr="00405EAB">
              <w:t>perspe</w:t>
            </w:r>
            <w:r>
              <w:t xml:space="preserve">ctives of CTE to education and </w:t>
            </w:r>
            <w:r w:rsidRPr="00405EAB">
              <w:t>society.</w:t>
            </w:r>
          </w:p>
          <w:p w14:paraId="1BD84F28" w14:textId="77777777" w:rsidR="00CA7371" w:rsidRPr="00405EAB" w:rsidRDefault="00CA7371" w:rsidP="002E4B62">
            <w:pPr>
              <w:ind w:left="612" w:hanging="612"/>
            </w:pPr>
            <w:r>
              <w:t>13(2)</w:t>
            </w:r>
            <w:r>
              <w:tab/>
              <w:t>D</w:t>
            </w:r>
            <w:r w:rsidRPr="00405EAB">
              <w:t>emonstrate an awareness of student recruitment, placement</w:t>
            </w:r>
            <w:r>
              <w:t>,</w:t>
            </w:r>
            <w:r w:rsidRPr="00405EAB">
              <w:t xml:space="preserve"> and guidance services</w:t>
            </w:r>
            <w:r>
              <w:t xml:space="preserve"> </w:t>
            </w:r>
            <w:r w:rsidRPr="00405EAB">
              <w:t>and the roles such services can play for students.</w:t>
            </w:r>
          </w:p>
          <w:p w14:paraId="5461818E" w14:textId="77777777" w:rsidR="00CA7371" w:rsidRPr="00405EAB" w:rsidRDefault="00CA7371" w:rsidP="002E4B62">
            <w:pPr>
              <w:ind w:left="612" w:hanging="612"/>
            </w:pPr>
            <w:r>
              <w:t>13(3)</w:t>
            </w:r>
            <w:r>
              <w:tab/>
              <w:t>D</w:t>
            </w:r>
            <w:r w:rsidRPr="00405EAB">
              <w:t>escribe the local, state</w:t>
            </w:r>
            <w:r>
              <w:t>,</w:t>
            </w:r>
            <w:r w:rsidRPr="00405EAB">
              <w:t xml:space="preserve"> and federal structures of career technical education and how</w:t>
            </w:r>
            <w:r>
              <w:t xml:space="preserve"> these structures impact the CTE</w:t>
            </w:r>
            <w:r w:rsidRPr="00405EAB">
              <w:t xml:space="preserve"> program.</w:t>
            </w:r>
          </w:p>
          <w:p w14:paraId="3BB3FE20" w14:textId="77777777" w:rsidR="00CA7371" w:rsidRPr="00405EAB" w:rsidRDefault="00CA7371" w:rsidP="002E4B62">
            <w:pPr>
              <w:ind w:left="612" w:hanging="612"/>
            </w:pPr>
            <w:r>
              <w:t>13(4)</w:t>
            </w:r>
            <w:r>
              <w:tab/>
              <w:t>I</w:t>
            </w:r>
            <w:r w:rsidRPr="00405EAB">
              <w:t>dentify and coordinate the use of related community organizations and agencies to</w:t>
            </w:r>
            <w:r>
              <w:t xml:space="preserve"> </w:t>
            </w:r>
            <w:r w:rsidRPr="00405EAB">
              <w:t>improve or enhance instruction.</w:t>
            </w:r>
          </w:p>
          <w:p w14:paraId="0328EDCA" w14:textId="77777777" w:rsidR="00CA7371" w:rsidRPr="00405EAB" w:rsidRDefault="00CA7371" w:rsidP="002E4B62">
            <w:pPr>
              <w:ind w:left="612" w:hanging="612"/>
            </w:pPr>
            <w:r>
              <w:t>13(5)</w:t>
            </w:r>
            <w:r>
              <w:tab/>
              <w:t>D</w:t>
            </w:r>
            <w:r w:rsidRPr="00405EAB">
              <w:t xml:space="preserve">emonstrate the ability to establish, supervise and </w:t>
            </w:r>
            <w:r>
              <w:t>advise</w:t>
            </w:r>
            <w:r w:rsidRPr="00405EAB">
              <w:t xml:space="preserve"> career technical student</w:t>
            </w:r>
            <w:r>
              <w:t xml:space="preserve"> </w:t>
            </w:r>
            <w:r w:rsidRPr="00405EAB">
              <w:t>leadership organizations.</w:t>
            </w:r>
          </w:p>
          <w:p w14:paraId="543721E4" w14:textId="77777777" w:rsidR="00CA7371" w:rsidRPr="00FA5ACA" w:rsidRDefault="00CA7371" w:rsidP="002E4B62">
            <w:pPr>
              <w:ind w:left="612" w:hanging="612"/>
            </w:pPr>
            <w:r>
              <w:t>13(6)</w:t>
            </w:r>
            <w:r>
              <w:tab/>
              <w:t>A</w:t>
            </w:r>
            <w:r w:rsidRPr="00405EAB">
              <w:t>ssist students to identify career pathway options and associated workplace skills.</w:t>
            </w:r>
          </w:p>
        </w:tc>
        <w:tc>
          <w:tcPr>
            <w:tcW w:w="7272" w:type="dxa"/>
          </w:tcPr>
          <w:p w14:paraId="621C1AEB" w14:textId="77777777" w:rsidR="00CA7371" w:rsidRPr="00FA5ACA" w:rsidRDefault="00CA7371" w:rsidP="002C2385"/>
        </w:tc>
      </w:tr>
      <w:tr w:rsidR="00CA7371" w:rsidRPr="00FA5ACA" w14:paraId="6B05FCE0" w14:textId="77777777" w:rsidTr="002E4B62">
        <w:trPr>
          <w:cantSplit/>
        </w:trPr>
        <w:tc>
          <w:tcPr>
            <w:tcW w:w="5868" w:type="dxa"/>
          </w:tcPr>
          <w:p w14:paraId="4EC5F896" w14:textId="77777777" w:rsidR="00CA7371" w:rsidRPr="00A1598A" w:rsidRDefault="00CA7371" w:rsidP="002E4B62">
            <w:r w:rsidRPr="00A1598A">
              <w:lastRenderedPageBreak/>
              <w:t xml:space="preserve">Advanced Preparation Program </w:t>
            </w:r>
          </w:p>
          <w:p w14:paraId="1BDE6CC9" w14:textId="77777777" w:rsidR="00CA7371" w:rsidRPr="00A1598A" w:rsidRDefault="00CA7371" w:rsidP="002E4B62">
            <w:pPr>
              <w:rPr>
                <w:i/>
              </w:rPr>
            </w:pPr>
            <w:r w:rsidRPr="00A1598A">
              <w:rPr>
                <w:i/>
              </w:rPr>
              <w:t>To obtain the professional credential, teachers may complete a program of advanced preparation that provides opportunities to demonstrate teaching competency through multiple measures.</w:t>
            </w:r>
          </w:p>
          <w:p w14:paraId="3F0009C6" w14:textId="77777777" w:rsidR="00CA7371" w:rsidRPr="00A1598A" w:rsidRDefault="00CA7371" w:rsidP="002E4B62">
            <w:r w:rsidRPr="00A1598A">
              <w:t>CTE teacher outcomes include demonstration of candidates’ abilities to:</w:t>
            </w:r>
          </w:p>
          <w:p w14:paraId="7F83D7F4" w14:textId="77777777" w:rsidR="00CA7371" w:rsidRPr="00405EAB" w:rsidRDefault="00CA7371" w:rsidP="002E4B62">
            <w:pPr>
              <w:ind w:left="612" w:hanging="612"/>
            </w:pPr>
            <w:r>
              <w:t>13(a)</w:t>
            </w:r>
            <w:r>
              <w:tab/>
              <w:t>D</w:t>
            </w:r>
            <w:r w:rsidRPr="00405EAB">
              <w:t>evise a professional growth plan in at least one content area of focus, based on the</w:t>
            </w:r>
            <w:r>
              <w:t xml:space="preserve"> </w:t>
            </w:r>
            <w:r w:rsidRPr="00405EAB">
              <w:t xml:space="preserve">teaching assignment, developmental needs, and prior preparation. </w:t>
            </w:r>
          </w:p>
          <w:p w14:paraId="0000A27B" w14:textId="77777777" w:rsidR="00CA7371" w:rsidRPr="00FA5ACA" w:rsidRDefault="00CA7371" w:rsidP="002E4B62">
            <w:pPr>
              <w:ind w:left="612" w:hanging="612"/>
            </w:pPr>
            <w:r>
              <w:t>13(b)</w:t>
            </w:r>
            <w:r>
              <w:tab/>
              <w:t>A</w:t>
            </w:r>
            <w:r w:rsidRPr="00405EAB">
              <w:t>rticulate and sequence instruction with their colleagues at and across grade levels</w:t>
            </w:r>
            <w:r>
              <w:t xml:space="preserve"> and subject matter</w:t>
            </w:r>
            <w:r w:rsidRPr="00405EAB">
              <w:t xml:space="preserve">. </w:t>
            </w:r>
          </w:p>
        </w:tc>
        <w:tc>
          <w:tcPr>
            <w:tcW w:w="7272" w:type="dxa"/>
          </w:tcPr>
          <w:p w14:paraId="3365FF75" w14:textId="77777777" w:rsidR="00CA7371" w:rsidRPr="00FA5ACA" w:rsidRDefault="00CA7371" w:rsidP="002C2385"/>
        </w:tc>
      </w:tr>
    </w:tbl>
    <w:p w14:paraId="5FC30F0A" w14:textId="77777777" w:rsidR="00AA09B0" w:rsidRPr="00627697" w:rsidRDefault="00AA09B0" w:rsidP="002C2385">
      <w:pPr>
        <w:autoSpaceDE w:val="0"/>
        <w:autoSpaceDN w:val="0"/>
        <w:adjustRightInd w:val="0"/>
        <w:spacing w:after="0" w:line="240" w:lineRule="auto"/>
        <w:rPr>
          <w:szCs w:val="20"/>
          <w:lang w:bidi="ar-SA"/>
        </w:rPr>
      </w:pPr>
    </w:p>
    <w:p w14:paraId="5924E19A" w14:textId="77777777" w:rsidR="00AA09B0" w:rsidRPr="00627697" w:rsidRDefault="00AA09B0" w:rsidP="002C2385">
      <w:pPr>
        <w:rPr>
          <w:szCs w:val="20"/>
          <w:lang w:bidi="ar-SA"/>
        </w:rPr>
      </w:pPr>
      <w:r w:rsidRPr="00627697">
        <w:rPr>
          <w:szCs w:val="20"/>
          <w:lang w:bidi="ar-SA"/>
        </w:rPr>
        <w:br w:type="page"/>
      </w:r>
    </w:p>
    <w:p w14:paraId="76EFAB28" w14:textId="79942378" w:rsidR="00AA09B0" w:rsidRDefault="00AA09B0" w:rsidP="00865D5E">
      <w:pPr>
        <w:pStyle w:val="Heading4"/>
      </w:pPr>
      <w:bookmarkStart w:id="46" w:name="_Toc262297443"/>
      <w:r w:rsidRPr="00627697">
        <w:lastRenderedPageBreak/>
        <w:t xml:space="preserve">Standard 14: Professional, Legal, and Ethical </w:t>
      </w:r>
      <w:r w:rsidRPr="00D25A87">
        <w:t>Responsibility</w:t>
      </w:r>
      <w:bookmarkEnd w:id="46"/>
    </w:p>
    <w:p w14:paraId="4321A6E2" w14:textId="77777777" w:rsidR="00865D5E" w:rsidRPr="00865D5E" w:rsidRDefault="00865D5E" w:rsidP="00865D5E">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6"/>
        <w:gridCol w:w="7164"/>
      </w:tblGrid>
      <w:tr w:rsidR="00CA7371" w:rsidRPr="00865D5E" w14:paraId="26740A6A" w14:textId="77777777" w:rsidTr="00865D5E">
        <w:trPr>
          <w:cantSplit/>
          <w:trHeight w:val="490"/>
          <w:tblHeader/>
        </w:trPr>
        <w:tc>
          <w:tcPr>
            <w:tcW w:w="5868" w:type="dxa"/>
          </w:tcPr>
          <w:p w14:paraId="6386120B" w14:textId="77777777" w:rsidR="00CA7371" w:rsidRPr="00865D5E" w:rsidRDefault="00CA7371" w:rsidP="00865D5E">
            <w:pPr>
              <w:jc w:val="center"/>
              <w:rPr>
                <w:b/>
                <w:bCs/>
              </w:rPr>
            </w:pPr>
            <w:r w:rsidRPr="00865D5E">
              <w:rPr>
                <w:b/>
                <w:bCs/>
              </w:rPr>
              <w:t>Standard</w:t>
            </w:r>
          </w:p>
        </w:tc>
        <w:tc>
          <w:tcPr>
            <w:tcW w:w="7290" w:type="dxa"/>
          </w:tcPr>
          <w:p w14:paraId="296F1B38" w14:textId="77777777" w:rsidR="00CA7371" w:rsidRPr="00865D5E" w:rsidRDefault="00CA7371" w:rsidP="00865D5E">
            <w:pPr>
              <w:jc w:val="center"/>
              <w:rPr>
                <w:b/>
                <w:bCs/>
                <w:color w:val="000000"/>
              </w:rPr>
            </w:pPr>
            <w:r w:rsidRPr="00865D5E">
              <w:rPr>
                <w:b/>
                <w:bCs/>
                <w:color w:val="000000"/>
              </w:rPr>
              <w:t>Narrative Addressing Standard—hyperlink to supporting documentation</w:t>
            </w:r>
          </w:p>
        </w:tc>
      </w:tr>
      <w:tr w:rsidR="00CA7371" w:rsidRPr="00FA5ACA" w14:paraId="58739E04" w14:textId="77777777" w:rsidTr="00865D5E">
        <w:trPr>
          <w:cantSplit/>
        </w:trPr>
        <w:tc>
          <w:tcPr>
            <w:tcW w:w="5868" w:type="dxa"/>
          </w:tcPr>
          <w:p w14:paraId="4CC03A88" w14:textId="77777777" w:rsidR="00CA7371" w:rsidRPr="00FA5ACA" w:rsidRDefault="00CA7371" w:rsidP="00865D5E">
            <w:r w:rsidRPr="00405EAB">
              <w:t>Candidates take responsibility for providing learning opportunities for all students.  They recognize ways in which personal and institutional biases and values affect the teaching and learning of students.  Candidates ethically manage their professional time and resources in teaching responsibilities and strive to ensure that instructional goals are met.  They understand and honor legal and professional obligations to protect the privacy, health and safety of students, families</w:t>
            </w:r>
            <w:r>
              <w:t>,</w:t>
            </w:r>
            <w:r w:rsidRPr="00405EAB">
              <w:t xml:space="preserve"> and other school professionals, including laws relating to professional misconduct and moral fitness for teachers. </w:t>
            </w:r>
          </w:p>
        </w:tc>
        <w:tc>
          <w:tcPr>
            <w:tcW w:w="7290" w:type="dxa"/>
          </w:tcPr>
          <w:p w14:paraId="05924BD3" w14:textId="77777777" w:rsidR="00CA7371" w:rsidRPr="00FA5ACA" w:rsidRDefault="00CA7371" w:rsidP="002C2385"/>
        </w:tc>
      </w:tr>
      <w:tr w:rsidR="00CA7371" w:rsidRPr="00FA5ACA" w14:paraId="02902B90" w14:textId="77777777" w:rsidTr="00865D5E">
        <w:trPr>
          <w:cantSplit/>
        </w:trPr>
        <w:tc>
          <w:tcPr>
            <w:tcW w:w="5868" w:type="dxa"/>
          </w:tcPr>
          <w:p w14:paraId="6681DA6A" w14:textId="77777777" w:rsidR="00CA7371" w:rsidRPr="00A1598A" w:rsidRDefault="00CA7371" w:rsidP="00865D5E">
            <w:pPr>
              <w:rPr>
                <w:bCs/>
                <w:u w:val="single"/>
              </w:rPr>
            </w:pPr>
            <w:r w:rsidRPr="00A1598A">
              <w:rPr>
                <w:bCs/>
                <w:u w:val="single"/>
              </w:rPr>
              <w:lastRenderedPageBreak/>
              <w:t xml:space="preserve">Initial Preparation Program </w:t>
            </w:r>
          </w:p>
          <w:p w14:paraId="1EA501FB" w14:textId="77777777" w:rsidR="00CA7371" w:rsidRPr="00A1598A" w:rsidRDefault="00CA7371" w:rsidP="00865D5E">
            <w:pPr>
              <w:rPr>
                <w:bCs/>
              </w:rPr>
            </w:pPr>
            <w:r w:rsidRPr="00A1598A">
              <w:rPr>
                <w:bCs/>
              </w:rPr>
              <w:t>CTE teacher outcomes include demonstration of candidates’ abilities to:</w:t>
            </w:r>
          </w:p>
          <w:p w14:paraId="3B49BC1F" w14:textId="77777777" w:rsidR="00CA7371" w:rsidRPr="00405EAB" w:rsidRDefault="00CA7371" w:rsidP="00865D5E">
            <w:pPr>
              <w:rPr>
                <w:bCs/>
              </w:rPr>
            </w:pPr>
            <w:r>
              <w:rPr>
                <w:bCs/>
              </w:rPr>
              <w:t>14(1)</w:t>
            </w:r>
            <w:r>
              <w:rPr>
                <w:bCs/>
              </w:rPr>
              <w:tab/>
              <w:t>A</w:t>
            </w:r>
            <w:r w:rsidRPr="00405EAB">
              <w:rPr>
                <w:bCs/>
              </w:rPr>
              <w:t>ct in accordance with professional standards and model ethical behaviors,</w:t>
            </w:r>
            <w:r>
              <w:rPr>
                <w:bCs/>
              </w:rPr>
              <w:t xml:space="preserve"> </w:t>
            </w:r>
            <w:r w:rsidRPr="00405EAB">
              <w:rPr>
                <w:bCs/>
              </w:rPr>
              <w:t>including the appropriate use of student labor, school equipment, supplies, and</w:t>
            </w:r>
            <w:r>
              <w:rPr>
                <w:bCs/>
              </w:rPr>
              <w:t xml:space="preserve"> </w:t>
            </w:r>
            <w:r w:rsidRPr="00405EAB">
              <w:rPr>
                <w:bCs/>
              </w:rPr>
              <w:t xml:space="preserve">facilities.  </w:t>
            </w:r>
          </w:p>
          <w:p w14:paraId="16C2C51C" w14:textId="77777777" w:rsidR="00CA7371" w:rsidRPr="00405EAB" w:rsidRDefault="00CA7371" w:rsidP="00865D5E">
            <w:pPr>
              <w:ind w:left="612" w:hanging="612"/>
            </w:pPr>
            <w:r>
              <w:t>14(2)</w:t>
            </w:r>
            <w:r>
              <w:tab/>
              <w:t>D</w:t>
            </w:r>
            <w:r w:rsidRPr="00405EAB">
              <w:t xml:space="preserve">evelop and maintain student competency and attendance records. </w:t>
            </w:r>
          </w:p>
          <w:p w14:paraId="49108077" w14:textId="77777777" w:rsidR="00CA7371" w:rsidRPr="00405EAB" w:rsidRDefault="00CA7371" w:rsidP="00865D5E">
            <w:pPr>
              <w:ind w:left="612" w:hanging="612"/>
              <w:rPr>
                <w:bCs/>
              </w:rPr>
            </w:pPr>
            <w:r>
              <w:rPr>
                <w:bCs/>
              </w:rPr>
              <w:t>14(3)</w:t>
            </w:r>
            <w:r>
              <w:rPr>
                <w:bCs/>
              </w:rPr>
              <w:tab/>
              <w:t>I</w:t>
            </w:r>
            <w:r w:rsidRPr="00405EAB">
              <w:rPr>
                <w:bCs/>
              </w:rPr>
              <w:t>dentify and report suspected cases of child abuse, neglect, or sexual</w:t>
            </w:r>
            <w:r>
              <w:rPr>
                <w:bCs/>
              </w:rPr>
              <w:t xml:space="preserve"> </w:t>
            </w:r>
            <w:r w:rsidRPr="00405EAB">
              <w:rPr>
                <w:bCs/>
              </w:rPr>
              <w:t>harassment.</w:t>
            </w:r>
          </w:p>
          <w:p w14:paraId="191D1F0A" w14:textId="77777777" w:rsidR="00CA7371" w:rsidRPr="00405EAB" w:rsidRDefault="00CA7371" w:rsidP="00865D5E">
            <w:pPr>
              <w:ind w:left="612" w:hanging="612"/>
              <w:rPr>
                <w:bCs/>
              </w:rPr>
            </w:pPr>
            <w:r>
              <w:rPr>
                <w:bCs/>
              </w:rPr>
              <w:t>14(4)</w:t>
            </w:r>
            <w:r>
              <w:rPr>
                <w:bCs/>
              </w:rPr>
              <w:tab/>
              <w:t>C</w:t>
            </w:r>
            <w:r w:rsidRPr="00405EAB">
              <w:rPr>
                <w:bCs/>
              </w:rPr>
              <w:t>arry out laws and district guidelines for reporting discrimination.</w:t>
            </w:r>
          </w:p>
          <w:p w14:paraId="0D3C72E4" w14:textId="77777777" w:rsidR="00CA7371" w:rsidRPr="00FA5ACA" w:rsidRDefault="00CA7371" w:rsidP="00865D5E">
            <w:pPr>
              <w:ind w:left="612" w:hanging="612"/>
              <w:rPr>
                <w:bCs/>
              </w:rPr>
            </w:pPr>
            <w:r>
              <w:rPr>
                <w:bCs/>
              </w:rPr>
              <w:t>14(5)</w:t>
            </w:r>
            <w:r>
              <w:rPr>
                <w:bCs/>
              </w:rPr>
              <w:tab/>
              <w:t>I</w:t>
            </w:r>
            <w:r w:rsidRPr="00405EAB">
              <w:rPr>
                <w:bCs/>
              </w:rPr>
              <w:t>mplement school and district policies and state and federal law in responding to</w:t>
            </w:r>
            <w:r>
              <w:rPr>
                <w:bCs/>
              </w:rPr>
              <w:t xml:space="preserve"> </w:t>
            </w:r>
            <w:r w:rsidRPr="00405EAB">
              <w:rPr>
                <w:bCs/>
              </w:rPr>
              <w:t>inappropriate or violent student behavior.</w:t>
            </w:r>
          </w:p>
        </w:tc>
        <w:tc>
          <w:tcPr>
            <w:tcW w:w="7290" w:type="dxa"/>
          </w:tcPr>
          <w:p w14:paraId="63104767" w14:textId="77777777" w:rsidR="00CA7371" w:rsidRPr="00FA5ACA" w:rsidRDefault="00CA7371" w:rsidP="002C2385"/>
        </w:tc>
      </w:tr>
    </w:tbl>
    <w:p w14:paraId="6FE3F16D" w14:textId="77777777" w:rsidR="00AA09B0" w:rsidRPr="00627697" w:rsidRDefault="00AA09B0" w:rsidP="002C2385">
      <w:pPr>
        <w:rPr>
          <w:szCs w:val="20"/>
          <w:lang w:bidi="ar-SA"/>
        </w:rPr>
      </w:pPr>
      <w:r w:rsidRPr="00627697">
        <w:rPr>
          <w:szCs w:val="20"/>
          <w:lang w:bidi="ar-SA"/>
        </w:rPr>
        <w:br w:type="page"/>
      </w:r>
    </w:p>
    <w:p w14:paraId="16B1D2B2" w14:textId="397F43E3" w:rsidR="00AA09B0" w:rsidRDefault="00AA09B0" w:rsidP="005263A5">
      <w:pPr>
        <w:pStyle w:val="Heading4"/>
      </w:pPr>
      <w:bookmarkStart w:id="47" w:name="_Toc262297444"/>
      <w:r w:rsidRPr="00627697">
        <w:lastRenderedPageBreak/>
        <w:t xml:space="preserve">Standard 15: Teaching </w:t>
      </w:r>
      <w:r w:rsidRPr="00D25A87">
        <w:t>English</w:t>
      </w:r>
      <w:r w:rsidRPr="00627697">
        <w:t xml:space="preserve"> Learners</w:t>
      </w:r>
      <w:bookmarkEnd w:id="47"/>
    </w:p>
    <w:p w14:paraId="625C3D18" w14:textId="77777777" w:rsidR="005263A5" w:rsidRPr="005263A5" w:rsidRDefault="005263A5" w:rsidP="005263A5">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1"/>
        <w:gridCol w:w="7339"/>
      </w:tblGrid>
      <w:tr w:rsidR="00CA7371" w:rsidRPr="005263A5" w14:paraId="336DDC56" w14:textId="77777777" w:rsidTr="005263A5">
        <w:trPr>
          <w:cantSplit/>
          <w:trHeight w:val="490"/>
          <w:tblHeader/>
        </w:trPr>
        <w:tc>
          <w:tcPr>
            <w:tcW w:w="5688" w:type="dxa"/>
          </w:tcPr>
          <w:p w14:paraId="3EECB707" w14:textId="77777777" w:rsidR="00CA7371" w:rsidRPr="005263A5" w:rsidRDefault="00CA7371" w:rsidP="005263A5">
            <w:pPr>
              <w:jc w:val="center"/>
              <w:rPr>
                <w:b/>
                <w:bCs/>
              </w:rPr>
            </w:pPr>
            <w:r w:rsidRPr="005263A5">
              <w:rPr>
                <w:b/>
                <w:bCs/>
              </w:rPr>
              <w:t>Standard</w:t>
            </w:r>
          </w:p>
        </w:tc>
        <w:tc>
          <w:tcPr>
            <w:tcW w:w="7470" w:type="dxa"/>
          </w:tcPr>
          <w:p w14:paraId="1A366282" w14:textId="77777777" w:rsidR="00CA7371" w:rsidRPr="005263A5" w:rsidRDefault="00CA7371" w:rsidP="005263A5">
            <w:pPr>
              <w:jc w:val="center"/>
              <w:rPr>
                <w:b/>
                <w:bCs/>
                <w:color w:val="000000"/>
              </w:rPr>
            </w:pPr>
            <w:r w:rsidRPr="005263A5">
              <w:rPr>
                <w:b/>
                <w:bCs/>
                <w:color w:val="000000"/>
              </w:rPr>
              <w:t>Narrative Addressing Standard—hyperlink to supporting documentation</w:t>
            </w:r>
          </w:p>
        </w:tc>
      </w:tr>
      <w:tr w:rsidR="00CA7371" w:rsidRPr="00FA5ACA" w14:paraId="61D20053" w14:textId="77777777" w:rsidTr="005263A5">
        <w:trPr>
          <w:cantSplit/>
        </w:trPr>
        <w:tc>
          <w:tcPr>
            <w:tcW w:w="5688" w:type="dxa"/>
          </w:tcPr>
          <w:p w14:paraId="18AA912F" w14:textId="77777777" w:rsidR="00CA7371" w:rsidRPr="00405EAB" w:rsidRDefault="00CA7371" w:rsidP="00CA7371">
            <w:pPr>
              <w:autoSpaceDE w:val="0"/>
              <w:autoSpaceDN w:val="0"/>
              <w:adjustRightInd w:val="0"/>
              <w:outlineLvl w:val="0"/>
              <w:rPr>
                <w:b/>
                <w:bCs/>
              </w:rPr>
            </w:pPr>
            <w:r w:rsidRPr="00405EAB">
              <w:rPr>
                <w:b/>
                <w:bCs/>
              </w:rPr>
              <w:t>Standard 1</w:t>
            </w:r>
            <w:r>
              <w:rPr>
                <w:b/>
                <w:bCs/>
              </w:rPr>
              <w:t>5</w:t>
            </w:r>
            <w:r w:rsidRPr="00405EAB">
              <w:rPr>
                <w:b/>
                <w:bCs/>
              </w:rPr>
              <w:t xml:space="preserve">: </w:t>
            </w:r>
            <w:r w:rsidRPr="00405EAB">
              <w:rPr>
                <w:b/>
                <w:bCs/>
                <w:color w:val="000000"/>
              </w:rPr>
              <w:t>Teaching English Learners</w:t>
            </w:r>
          </w:p>
          <w:p w14:paraId="6290658E" w14:textId="77777777" w:rsidR="00CA7371" w:rsidRPr="00FA5ACA" w:rsidRDefault="00CA7371" w:rsidP="005263A5">
            <w:pPr>
              <w:rPr>
                <w:color w:val="000000"/>
              </w:rPr>
            </w:pPr>
            <w:r w:rsidRPr="00405EAB">
              <w:t>Candidates know and apply specially designed academic instruction in English (SDAIE) to make curriculum content comprehensible to English l</w:t>
            </w:r>
            <w:r>
              <w:t>earners</w:t>
            </w:r>
            <w:r w:rsidRPr="00405EAB">
              <w:t xml:space="preserve">.  </w:t>
            </w:r>
            <w:r w:rsidRPr="00405EAB">
              <w:rPr>
                <w:color w:val="000000"/>
              </w:rPr>
              <w:t xml:space="preserve">The program provides information on how to access assessment data on English learner students to </w:t>
            </w:r>
            <w:r>
              <w:rPr>
                <w:color w:val="000000"/>
              </w:rPr>
              <w:t>design appropriate</w:t>
            </w:r>
            <w:r w:rsidRPr="00405EAB">
              <w:rPr>
                <w:color w:val="000000"/>
              </w:rPr>
              <w:t xml:space="preserve"> instruction. </w:t>
            </w:r>
            <w:r w:rsidRPr="00405EAB">
              <w:t xml:space="preserve">The program includes </w:t>
            </w:r>
            <w:r>
              <w:t xml:space="preserve">information about </w:t>
            </w:r>
            <w:r w:rsidRPr="00405EAB">
              <w:rPr>
                <w:color w:val="000000"/>
              </w:rPr>
              <w:t>relevant state and federal laws; current research findings and practices; cognitive, pedagogical</w:t>
            </w:r>
            <w:r>
              <w:rPr>
                <w:color w:val="000000"/>
              </w:rPr>
              <w:t>,</w:t>
            </w:r>
            <w:r w:rsidRPr="00405EAB">
              <w:rPr>
                <w:color w:val="000000"/>
              </w:rPr>
              <w:t xml:space="preserve"> and individual factors that affect language acquisition; historical and cultural traditions relevant to learning English; and student access to and achievement in the curriculum</w:t>
            </w:r>
            <w:r w:rsidRPr="00405EAB">
              <w:rPr>
                <w:bCs/>
              </w:rPr>
              <w:t>.</w:t>
            </w:r>
            <w:r w:rsidRPr="00405EAB">
              <w:rPr>
                <w:color w:val="000000"/>
              </w:rPr>
              <w:t xml:space="preserve"> The program emphasizes the key role of content standards and standards-based assessment in planning instruction for English learners. Candidates practice a variety of systematic instructional strategies to make content comprehens</w:t>
            </w:r>
            <w:r>
              <w:rPr>
                <w:color w:val="000000"/>
              </w:rPr>
              <w:t>ible to English learners</w:t>
            </w:r>
            <w:r w:rsidRPr="00405EAB">
              <w:rPr>
                <w:color w:val="000000"/>
              </w:rPr>
              <w:t>.</w:t>
            </w:r>
          </w:p>
        </w:tc>
        <w:tc>
          <w:tcPr>
            <w:tcW w:w="7470" w:type="dxa"/>
          </w:tcPr>
          <w:p w14:paraId="5894DC3D" w14:textId="77777777" w:rsidR="00CA7371" w:rsidRPr="00627697" w:rsidRDefault="00CA7371" w:rsidP="004B0774">
            <w:pPr>
              <w:pStyle w:val="BodyTextIndent"/>
              <w:rPr>
                <w:sz w:val="20"/>
                <w:szCs w:val="20"/>
              </w:rPr>
            </w:pPr>
          </w:p>
        </w:tc>
      </w:tr>
      <w:tr w:rsidR="00CA7371" w:rsidRPr="00FA5ACA" w14:paraId="3E1C61D5" w14:textId="77777777" w:rsidTr="005263A5">
        <w:trPr>
          <w:cantSplit/>
        </w:trPr>
        <w:tc>
          <w:tcPr>
            <w:tcW w:w="5688" w:type="dxa"/>
          </w:tcPr>
          <w:p w14:paraId="50636D22" w14:textId="77777777" w:rsidR="00CA7371" w:rsidRPr="00AD4E67" w:rsidRDefault="00CA7371" w:rsidP="005263A5">
            <w:pPr>
              <w:rPr>
                <w:u w:val="single"/>
              </w:rPr>
            </w:pPr>
            <w:r w:rsidRPr="00AD4E67">
              <w:rPr>
                <w:u w:val="single"/>
              </w:rPr>
              <w:lastRenderedPageBreak/>
              <w:t xml:space="preserve">Initial Preparation Program </w:t>
            </w:r>
          </w:p>
          <w:p w14:paraId="115E8A4B" w14:textId="77777777" w:rsidR="00CA7371" w:rsidRPr="00A1598A" w:rsidRDefault="00CA7371" w:rsidP="005263A5">
            <w:r w:rsidRPr="00A1598A">
              <w:t>CTE teacher outcomes include demonstration of candidates’ abilities to:</w:t>
            </w:r>
          </w:p>
          <w:p w14:paraId="72EC2A06" w14:textId="77777777" w:rsidR="00CA7371" w:rsidRDefault="00CA7371" w:rsidP="005263A5">
            <w:pPr>
              <w:ind w:left="612" w:hanging="630"/>
              <w:rPr>
                <w:color w:val="000000"/>
              </w:rPr>
            </w:pPr>
            <w:r>
              <w:rPr>
                <w:color w:val="000000"/>
              </w:rPr>
              <w:t>15(1)</w:t>
            </w:r>
            <w:r>
              <w:rPr>
                <w:color w:val="000000"/>
              </w:rPr>
              <w:tab/>
              <w:t>S</w:t>
            </w:r>
            <w:r w:rsidRPr="00405EAB">
              <w:rPr>
                <w:color w:val="000000"/>
              </w:rPr>
              <w:t>elect, modify, and use a variety of systematic instructional strategies that make</w:t>
            </w:r>
            <w:r>
              <w:rPr>
                <w:color w:val="000000"/>
              </w:rPr>
              <w:t xml:space="preserve"> </w:t>
            </w:r>
            <w:r w:rsidRPr="00405EAB">
              <w:rPr>
                <w:color w:val="000000"/>
              </w:rPr>
              <w:t xml:space="preserve">content more comprehensible to English learners. </w:t>
            </w:r>
          </w:p>
          <w:p w14:paraId="69150CA8" w14:textId="77777777" w:rsidR="00CA7371" w:rsidRPr="00405EAB" w:rsidRDefault="00CA7371" w:rsidP="005263A5">
            <w:pPr>
              <w:ind w:left="612" w:hanging="630"/>
            </w:pPr>
            <w:r>
              <w:t>15(2)</w:t>
            </w:r>
            <w:r>
              <w:tab/>
              <w:t>U</w:t>
            </w:r>
            <w:r w:rsidRPr="00405EAB">
              <w:t>se the principles of language acquisition, teaching strategies and curriculum</w:t>
            </w:r>
            <w:r>
              <w:t xml:space="preserve"> </w:t>
            </w:r>
            <w:r w:rsidRPr="00405EAB">
              <w:t>materials effective for English learners.</w:t>
            </w:r>
          </w:p>
          <w:p w14:paraId="67937932" w14:textId="77777777" w:rsidR="00CA7371" w:rsidRPr="00405EAB" w:rsidRDefault="00CA7371" w:rsidP="005263A5">
            <w:pPr>
              <w:ind w:left="612" w:hanging="630"/>
            </w:pPr>
            <w:r>
              <w:t>15(3)</w:t>
            </w:r>
            <w:r>
              <w:tab/>
              <w:t>E</w:t>
            </w:r>
            <w:r w:rsidRPr="00405EAB">
              <w:t>mploy strategies, techniques and materials that are free of bias and foster learning</w:t>
            </w:r>
            <w:r>
              <w:t xml:space="preserve"> </w:t>
            </w:r>
            <w:r w:rsidRPr="00405EAB">
              <w:t>among EL students.</w:t>
            </w:r>
          </w:p>
          <w:p w14:paraId="1F9D7026" w14:textId="77777777" w:rsidR="00CA7371" w:rsidRPr="00405EAB" w:rsidRDefault="00CA7371" w:rsidP="005263A5">
            <w:pPr>
              <w:ind w:left="612" w:hanging="630"/>
            </w:pPr>
            <w:r>
              <w:t>15(4)</w:t>
            </w:r>
            <w:r>
              <w:tab/>
              <w:t>E</w:t>
            </w:r>
            <w:r w:rsidRPr="00405EAB">
              <w:t>xhibit understanding, appreciation</w:t>
            </w:r>
            <w:r>
              <w:t>,</w:t>
            </w:r>
            <w:r w:rsidRPr="00405EAB">
              <w:t xml:space="preserve"> and sensitivity toward the cultural heritage,</w:t>
            </w:r>
            <w:r>
              <w:t xml:space="preserve"> </w:t>
            </w:r>
            <w:r w:rsidRPr="00405EAB">
              <w:t>community values</w:t>
            </w:r>
            <w:r>
              <w:t>,</w:t>
            </w:r>
            <w:r w:rsidRPr="00405EAB">
              <w:t xml:space="preserve"> and individual aspirations of their EL students.</w:t>
            </w:r>
          </w:p>
          <w:p w14:paraId="75E41461" w14:textId="77777777" w:rsidR="00CA7371" w:rsidRPr="00405EAB" w:rsidRDefault="00CA7371" w:rsidP="005263A5">
            <w:pPr>
              <w:ind w:left="612" w:hanging="630"/>
            </w:pPr>
            <w:r>
              <w:t>15(5)</w:t>
            </w:r>
            <w:r>
              <w:tab/>
              <w:t>E</w:t>
            </w:r>
            <w:r w:rsidRPr="00405EAB">
              <w:t xml:space="preserve">ncourage students to excel </w:t>
            </w:r>
            <w:r>
              <w:t>and promote interaction between</w:t>
            </w:r>
            <w:r w:rsidRPr="00405EAB">
              <w:t xml:space="preserve"> different language</w:t>
            </w:r>
            <w:r>
              <w:t xml:space="preserve"> </w:t>
            </w:r>
            <w:r w:rsidRPr="00405EAB">
              <w:t>groups and actively engage students in classroom activities.</w:t>
            </w:r>
          </w:p>
          <w:p w14:paraId="49EEBE61" w14:textId="77777777" w:rsidR="00CA7371" w:rsidRPr="00405EAB" w:rsidRDefault="00CA7371" w:rsidP="005263A5">
            <w:pPr>
              <w:ind w:left="612" w:hanging="630"/>
              <w:rPr>
                <w:color w:val="000000"/>
              </w:rPr>
            </w:pPr>
            <w:r>
              <w:rPr>
                <w:color w:val="000000"/>
              </w:rPr>
              <w:t>15(6)</w:t>
            </w:r>
            <w:r>
              <w:rPr>
                <w:color w:val="000000"/>
              </w:rPr>
              <w:tab/>
              <w:t>P</w:t>
            </w:r>
            <w:r w:rsidRPr="00405EAB">
              <w:rPr>
                <w:color w:val="000000"/>
              </w:rPr>
              <w:t>lan and deliver appropriate instruction based on formal and informal language</w:t>
            </w:r>
            <w:r>
              <w:rPr>
                <w:color w:val="000000"/>
              </w:rPr>
              <w:t xml:space="preserve"> </w:t>
            </w:r>
            <w:r w:rsidRPr="00405EAB">
              <w:rPr>
                <w:color w:val="000000"/>
              </w:rPr>
              <w:t>proficiency assessment data (e.g., CELDT)</w:t>
            </w:r>
            <w:r w:rsidRPr="00405EAB">
              <w:rPr>
                <w:b/>
                <w:color w:val="000000"/>
              </w:rPr>
              <w:t xml:space="preserve">. </w:t>
            </w:r>
          </w:p>
          <w:p w14:paraId="670A73DD" w14:textId="77777777" w:rsidR="00CA7371" w:rsidRPr="00FA5ACA" w:rsidRDefault="00CA7371" w:rsidP="005263A5">
            <w:pPr>
              <w:ind w:left="612" w:hanging="630"/>
            </w:pPr>
            <w:r>
              <w:t>15(7)</w:t>
            </w:r>
            <w:r>
              <w:tab/>
              <w:t>C</w:t>
            </w:r>
            <w:r w:rsidRPr="00405EAB">
              <w:t xml:space="preserve">ommunicate effectively with parents and families. </w:t>
            </w:r>
          </w:p>
        </w:tc>
        <w:tc>
          <w:tcPr>
            <w:tcW w:w="7470" w:type="dxa"/>
          </w:tcPr>
          <w:p w14:paraId="170BE351" w14:textId="77777777" w:rsidR="00CA7371" w:rsidRPr="00FA5ACA" w:rsidRDefault="00CA7371" w:rsidP="002C2385"/>
        </w:tc>
      </w:tr>
    </w:tbl>
    <w:p w14:paraId="61E20630" w14:textId="77777777" w:rsidR="00AA09B0" w:rsidRPr="00627697" w:rsidRDefault="00AA09B0" w:rsidP="002C2385">
      <w:pPr>
        <w:autoSpaceDE w:val="0"/>
        <w:autoSpaceDN w:val="0"/>
        <w:adjustRightInd w:val="0"/>
        <w:spacing w:after="0" w:line="240" w:lineRule="auto"/>
        <w:rPr>
          <w:szCs w:val="20"/>
          <w:lang w:bidi="ar-SA"/>
        </w:rPr>
      </w:pPr>
    </w:p>
    <w:p w14:paraId="3714492A" w14:textId="77777777" w:rsidR="00AA09B0" w:rsidRPr="00627697" w:rsidRDefault="00AA09B0" w:rsidP="002C2385">
      <w:pPr>
        <w:rPr>
          <w:szCs w:val="20"/>
          <w:lang w:bidi="ar-SA"/>
        </w:rPr>
      </w:pPr>
      <w:r w:rsidRPr="00627697">
        <w:rPr>
          <w:szCs w:val="20"/>
          <w:lang w:bidi="ar-SA"/>
        </w:rPr>
        <w:br w:type="page"/>
      </w:r>
    </w:p>
    <w:p w14:paraId="20478F0D" w14:textId="74F9E39E" w:rsidR="00AA09B0" w:rsidRDefault="00AA09B0" w:rsidP="00AD4E67">
      <w:pPr>
        <w:pStyle w:val="Heading4"/>
      </w:pPr>
      <w:bookmarkStart w:id="48" w:name="_Toc262297445"/>
      <w:r w:rsidRPr="00627697">
        <w:lastRenderedPageBreak/>
        <w:t xml:space="preserve">Standard 16: Teaching Students with </w:t>
      </w:r>
      <w:r w:rsidRPr="004B0774">
        <w:t>Special</w:t>
      </w:r>
      <w:r w:rsidRPr="00627697">
        <w:t xml:space="preserve"> Needs</w:t>
      </w:r>
      <w:bookmarkEnd w:id="48"/>
    </w:p>
    <w:p w14:paraId="319E17B7" w14:textId="77777777" w:rsidR="00AD4E67" w:rsidRPr="00AD4E67" w:rsidRDefault="00AD4E67" w:rsidP="00AD4E6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3"/>
        <w:gridCol w:w="7247"/>
      </w:tblGrid>
      <w:tr w:rsidR="00CA7371" w:rsidRPr="00AD4E67" w14:paraId="2C74FCE4" w14:textId="77777777" w:rsidTr="00AD4E67">
        <w:trPr>
          <w:cantSplit/>
          <w:trHeight w:val="490"/>
          <w:tblHeader/>
        </w:trPr>
        <w:tc>
          <w:tcPr>
            <w:tcW w:w="5778" w:type="dxa"/>
          </w:tcPr>
          <w:p w14:paraId="7447A170" w14:textId="77777777" w:rsidR="00CA7371" w:rsidRPr="00AD4E67" w:rsidRDefault="00CA7371" w:rsidP="00AD4E67">
            <w:pPr>
              <w:jc w:val="center"/>
              <w:rPr>
                <w:b/>
                <w:bCs/>
              </w:rPr>
            </w:pPr>
            <w:r w:rsidRPr="00AD4E67">
              <w:rPr>
                <w:b/>
                <w:bCs/>
              </w:rPr>
              <w:t>Standard</w:t>
            </w:r>
          </w:p>
        </w:tc>
        <w:tc>
          <w:tcPr>
            <w:tcW w:w="7380" w:type="dxa"/>
          </w:tcPr>
          <w:p w14:paraId="7B093CF8" w14:textId="77777777" w:rsidR="00CA7371" w:rsidRPr="00AD4E67" w:rsidRDefault="00CA7371" w:rsidP="00AD4E67">
            <w:pPr>
              <w:jc w:val="center"/>
              <w:rPr>
                <w:b/>
                <w:bCs/>
                <w:color w:val="000000"/>
              </w:rPr>
            </w:pPr>
            <w:r w:rsidRPr="00AD4E67">
              <w:rPr>
                <w:b/>
                <w:bCs/>
                <w:color w:val="000000"/>
              </w:rPr>
              <w:t>Narrative Addressing Standard—hyperlink to supporting documentation</w:t>
            </w:r>
          </w:p>
        </w:tc>
      </w:tr>
      <w:tr w:rsidR="00CA7371" w:rsidRPr="00FA5ACA" w14:paraId="360766D2" w14:textId="77777777" w:rsidTr="00AD4E67">
        <w:trPr>
          <w:cantSplit/>
        </w:trPr>
        <w:tc>
          <w:tcPr>
            <w:tcW w:w="5778" w:type="dxa"/>
          </w:tcPr>
          <w:p w14:paraId="1F1687FA" w14:textId="77777777" w:rsidR="00CA7371" w:rsidRPr="00FA5ACA" w:rsidRDefault="00CA7371" w:rsidP="00AD4E67">
            <w:pPr>
              <w:rPr>
                <w:b/>
                <w:u w:val="single"/>
              </w:rPr>
            </w:pPr>
            <w:r w:rsidRPr="00405EAB">
              <w:t>Candidates develop basic knowledge, skills</w:t>
            </w:r>
            <w:r>
              <w:t>,</w:t>
            </w:r>
            <w:r w:rsidRPr="00405EAB">
              <w:t xml:space="preserve"> and strategies for teaching special populations</w:t>
            </w:r>
            <w:r>
              <w:t xml:space="preserve"> in CTE classrooms</w:t>
            </w:r>
            <w:r w:rsidRPr="00405EAB">
              <w:t xml:space="preserve">, including students with exceptional needs, students on behavior plans, and gifted and talented students.  Candidates understand the role of the CTE teacher in the special education process.  Candidates use differentiated instructional strategies that provide all students with access to CTE curriculum.  Candidates promote a positive, inclusive climate of instruction for all special populations in the CTE classroom.  </w:t>
            </w:r>
          </w:p>
        </w:tc>
        <w:tc>
          <w:tcPr>
            <w:tcW w:w="7380" w:type="dxa"/>
          </w:tcPr>
          <w:p w14:paraId="3E6B50CC" w14:textId="77777777" w:rsidR="00CA7371" w:rsidRPr="00FA5ACA" w:rsidRDefault="00CA7371" w:rsidP="002C2385"/>
        </w:tc>
      </w:tr>
      <w:tr w:rsidR="00CA7371" w:rsidRPr="00FA5ACA" w14:paraId="6A6ADC27" w14:textId="77777777" w:rsidTr="00AD4E67">
        <w:trPr>
          <w:cantSplit/>
        </w:trPr>
        <w:tc>
          <w:tcPr>
            <w:tcW w:w="5778" w:type="dxa"/>
          </w:tcPr>
          <w:p w14:paraId="55004F6B" w14:textId="77777777" w:rsidR="00CA7371" w:rsidRPr="00AD4E67" w:rsidRDefault="00CA7371" w:rsidP="00AD4E67">
            <w:pPr>
              <w:rPr>
                <w:u w:val="single"/>
              </w:rPr>
            </w:pPr>
            <w:r w:rsidRPr="00AD4E67">
              <w:rPr>
                <w:u w:val="single"/>
              </w:rPr>
              <w:lastRenderedPageBreak/>
              <w:t xml:space="preserve">Initial Preparation Program </w:t>
            </w:r>
          </w:p>
          <w:p w14:paraId="07F3A081" w14:textId="77777777" w:rsidR="00CA7371" w:rsidRPr="00A1598A" w:rsidRDefault="00CA7371" w:rsidP="00AD4E67">
            <w:r w:rsidRPr="00A1598A">
              <w:t>CTE teacher outcomes include demonstration of candidates’ abilities to:</w:t>
            </w:r>
          </w:p>
          <w:p w14:paraId="2861262B" w14:textId="77777777" w:rsidR="00CA7371" w:rsidRPr="00405EAB" w:rsidRDefault="00CA7371" w:rsidP="00AD4E67">
            <w:pPr>
              <w:ind w:left="612" w:hanging="612"/>
            </w:pPr>
            <w:r>
              <w:t>16(1)</w:t>
            </w:r>
            <w:r>
              <w:tab/>
              <w:t>D</w:t>
            </w:r>
            <w:r w:rsidRPr="00405EAB">
              <w:t>escribe and provide examples of the major categories of disabilities.</w:t>
            </w:r>
          </w:p>
          <w:p w14:paraId="32020707" w14:textId="77777777" w:rsidR="00CA7371" w:rsidRPr="00405EAB" w:rsidRDefault="00CA7371" w:rsidP="00AD4E67">
            <w:pPr>
              <w:ind w:left="612" w:hanging="612"/>
            </w:pPr>
            <w:r>
              <w:t>16(2)</w:t>
            </w:r>
            <w:r>
              <w:tab/>
              <w:t>D</w:t>
            </w:r>
            <w:r w:rsidRPr="00405EAB">
              <w:t>escribe the CTE teacher’s role in state and federal laws pertaining to the</w:t>
            </w:r>
            <w:r>
              <w:t xml:space="preserve"> </w:t>
            </w:r>
            <w:r w:rsidRPr="00405EAB">
              <w:t>education of students with special needs.</w:t>
            </w:r>
          </w:p>
          <w:p w14:paraId="12D4755B" w14:textId="77777777" w:rsidR="00CA7371" w:rsidRPr="00405EAB" w:rsidRDefault="00CA7371" w:rsidP="00AD4E67">
            <w:pPr>
              <w:ind w:left="612" w:hanging="612"/>
            </w:pPr>
            <w:r>
              <w:t>16(3)</w:t>
            </w:r>
            <w:r>
              <w:tab/>
              <w:t>D</w:t>
            </w:r>
            <w:r w:rsidRPr="00405EAB">
              <w:t>escribe the teacher’s role and responsibilities in the Individual Education</w:t>
            </w:r>
            <w:r>
              <w:t xml:space="preserve"> </w:t>
            </w:r>
            <w:r w:rsidRPr="00405EAB">
              <w:t>Program/Individual Transition Plan (IEP/ITP) process for all students as</w:t>
            </w:r>
            <w:r>
              <w:t xml:space="preserve"> </w:t>
            </w:r>
            <w:r w:rsidRPr="00405EAB">
              <w:t>appropriate, including: identification, referral, assessment, IEP/ITP planning</w:t>
            </w:r>
            <w:r>
              <w:t xml:space="preserve"> </w:t>
            </w:r>
            <w:r w:rsidRPr="00405EAB">
              <w:t xml:space="preserve">and meeting, implementation, and evaluation.  </w:t>
            </w:r>
          </w:p>
          <w:p w14:paraId="7BA6E76A" w14:textId="77777777" w:rsidR="00CA7371" w:rsidRPr="00405EAB" w:rsidRDefault="00CA7371" w:rsidP="00AD4E67">
            <w:pPr>
              <w:ind w:left="612" w:hanging="612"/>
            </w:pPr>
            <w:r>
              <w:t>16(4)</w:t>
            </w:r>
            <w:r>
              <w:tab/>
              <w:t>D</w:t>
            </w:r>
            <w:r w:rsidRPr="00405EAB">
              <w:t>escribe the CTE teacher’s role regarding Section 504 as it pertains to the</w:t>
            </w:r>
            <w:r>
              <w:t xml:space="preserve"> </w:t>
            </w:r>
            <w:r w:rsidRPr="00405EAB">
              <w:t>educ</w:t>
            </w:r>
            <w:r>
              <w:t xml:space="preserve">ation of students with special </w:t>
            </w:r>
            <w:r w:rsidRPr="00405EAB">
              <w:t xml:space="preserve">needs. </w:t>
            </w:r>
          </w:p>
          <w:p w14:paraId="4D08D906" w14:textId="77777777" w:rsidR="00CA7371" w:rsidRPr="00405EAB" w:rsidRDefault="00CA7371" w:rsidP="00AD4E67">
            <w:pPr>
              <w:ind w:left="612" w:hanging="612"/>
            </w:pPr>
            <w:r>
              <w:t>16(5)</w:t>
            </w:r>
            <w:r>
              <w:tab/>
              <w:t>S</w:t>
            </w:r>
            <w:r w:rsidRPr="00405EAB">
              <w:t>elect and use appropriate instructional materials, assistive technologies, and</w:t>
            </w:r>
            <w:r>
              <w:t xml:space="preserve"> </w:t>
            </w:r>
            <w:r w:rsidRPr="00405EAB">
              <w:t>differentiated teaching strategies to meet the needs of special populations in</w:t>
            </w:r>
            <w:r>
              <w:t xml:space="preserve"> the CTE</w:t>
            </w:r>
            <w:r w:rsidRPr="00405EAB">
              <w:t xml:space="preserve"> classroom. </w:t>
            </w:r>
          </w:p>
          <w:p w14:paraId="677A9D69" w14:textId="77777777" w:rsidR="00CA7371" w:rsidRPr="00405EAB" w:rsidRDefault="00CA7371" w:rsidP="00AD4E67">
            <w:pPr>
              <w:ind w:left="612" w:hanging="612"/>
            </w:pPr>
            <w:r>
              <w:t>16(6)</w:t>
            </w:r>
            <w:r>
              <w:tab/>
              <w:t>P</w:t>
            </w:r>
            <w:r w:rsidRPr="00405EAB">
              <w:t>lan and deliver instruction that provides special needs students with access</w:t>
            </w:r>
            <w:r>
              <w:t xml:space="preserve"> </w:t>
            </w:r>
            <w:r w:rsidRPr="00405EAB">
              <w:t xml:space="preserve">to CTE curriculum.  </w:t>
            </w:r>
          </w:p>
          <w:p w14:paraId="65F5A400" w14:textId="77777777" w:rsidR="00CA7371" w:rsidRPr="00405EAB" w:rsidRDefault="00CA7371" w:rsidP="00AD4E67">
            <w:pPr>
              <w:ind w:left="612" w:hanging="612"/>
            </w:pPr>
            <w:r>
              <w:t>16(7)</w:t>
            </w:r>
            <w:r>
              <w:tab/>
              <w:t>P</w:t>
            </w:r>
            <w:r w:rsidRPr="00405EAB">
              <w:t>romote social integration for students with special needs in the CTE</w:t>
            </w:r>
            <w:r>
              <w:t xml:space="preserve"> </w:t>
            </w:r>
            <w:r w:rsidRPr="00405EAB">
              <w:t>classroom.</w:t>
            </w:r>
          </w:p>
          <w:p w14:paraId="1BA1928E" w14:textId="77777777" w:rsidR="00CA7371" w:rsidRPr="00405EAB" w:rsidRDefault="00CA7371" w:rsidP="00AD4E67">
            <w:pPr>
              <w:ind w:left="612" w:hanging="612"/>
            </w:pPr>
            <w:r>
              <w:lastRenderedPageBreak/>
              <w:t xml:space="preserve">16(8) </w:t>
            </w:r>
            <w:r>
              <w:tab/>
              <w:t>E</w:t>
            </w:r>
            <w:r w:rsidRPr="00405EAB">
              <w:t>ngage students with diverse needs in all classroom activities.</w:t>
            </w:r>
          </w:p>
          <w:p w14:paraId="20802369" w14:textId="77777777" w:rsidR="00CA7371" w:rsidRPr="00FA5ACA" w:rsidRDefault="00CA7371" w:rsidP="00AD4E67">
            <w:pPr>
              <w:ind w:left="612" w:hanging="612"/>
            </w:pPr>
            <w:r>
              <w:t xml:space="preserve">16(9) </w:t>
            </w:r>
            <w:r>
              <w:tab/>
              <w:t>D</w:t>
            </w:r>
            <w:r w:rsidRPr="00405EAB">
              <w:t xml:space="preserve">escribe the various programs (e.g., ROP, </w:t>
            </w:r>
            <w:proofErr w:type="spellStart"/>
            <w:r w:rsidRPr="00405EAB">
              <w:t>WorkAbility</w:t>
            </w:r>
            <w:proofErr w:type="spellEnd"/>
            <w:r w:rsidRPr="00405EAB">
              <w:t xml:space="preserve">, work experience, </w:t>
            </w:r>
            <w:r>
              <w:t>transition-to-</w:t>
            </w:r>
            <w:r w:rsidRPr="00405EAB">
              <w:t>work) and resources (e.g., Department of Rehabilitation Services, Regional</w:t>
            </w:r>
            <w:r>
              <w:t xml:space="preserve"> </w:t>
            </w:r>
            <w:r w:rsidRPr="00405EAB">
              <w:t>Center) available for students with special needs.</w:t>
            </w:r>
          </w:p>
        </w:tc>
        <w:tc>
          <w:tcPr>
            <w:tcW w:w="7380" w:type="dxa"/>
          </w:tcPr>
          <w:p w14:paraId="6EDB341B" w14:textId="77777777" w:rsidR="00CA7371" w:rsidRPr="00FA5ACA" w:rsidRDefault="00CA7371" w:rsidP="002C2385"/>
        </w:tc>
      </w:tr>
      <w:tr w:rsidR="00CA7371" w:rsidRPr="00FA5ACA" w14:paraId="3127857F" w14:textId="77777777" w:rsidTr="00AD4E67">
        <w:trPr>
          <w:cantSplit/>
        </w:trPr>
        <w:tc>
          <w:tcPr>
            <w:tcW w:w="5778" w:type="dxa"/>
          </w:tcPr>
          <w:p w14:paraId="208CB72F" w14:textId="77777777" w:rsidR="00CA7371" w:rsidRPr="00AD4E67" w:rsidRDefault="00CA7371" w:rsidP="00AD4E67">
            <w:pPr>
              <w:rPr>
                <w:u w:val="single"/>
              </w:rPr>
            </w:pPr>
            <w:r w:rsidRPr="00AD4E67">
              <w:rPr>
                <w:u w:val="single"/>
              </w:rPr>
              <w:t>Advanced Preparation Program</w:t>
            </w:r>
          </w:p>
          <w:p w14:paraId="515C58F2" w14:textId="77777777" w:rsidR="00CA7371" w:rsidRPr="00A1598A" w:rsidRDefault="00CA7371" w:rsidP="00AD4E67">
            <w:pPr>
              <w:rPr>
                <w:i/>
              </w:rPr>
            </w:pPr>
            <w:r w:rsidRPr="00A1598A">
              <w:rPr>
                <w:i/>
              </w:rPr>
              <w:t>To obtain the professional credential, teachers may complete a program of advanced preparation that provides opportunities to demonstrate teaching competency through multiple measures.</w:t>
            </w:r>
          </w:p>
          <w:p w14:paraId="5ECD11B5" w14:textId="77777777" w:rsidR="00CA7371" w:rsidRPr="00A1598A" w:rsidRDefault="00CA7371" w:rsidP="00AD4E67">
            <w:r w:rsidRPr="00A1598A">
              <w:t>CTE teacher outcomes include demonstration of candidates’ abilities to:</w:t>
            </w:r>
          </w:p>
          <w:p w14:paraId="7C2D25C4" w14:textId="77777777" w:rsidR="00CA7371" w:rsidRPr="00FA5ACA" w:rsidRDefault="00CA7371" w:rsidP="00AD4E67">
            <w:pPr>
              <w:ind w:left="612" w:hanging="612"/>
            </w:pPr>
            <w:r>
              <w:t>16(a)</w:t>
            </w:r>
            <w:r>
              <w:tab/>
              <w:t>C</w:t>
            </w:r>
            <w:r w:rsidRPr="00405EAB">
              <w:t>ollaborate with other educators, paraprofession</w:t>
            </w:r>
            <w:r>
              <w:t xml:space="preserve">als, and families/caregivers to </w:t>
            </w:r>
            <w:r w:rsidRPr="00405EAB">
              <w:t>help special needs students transition to the least restrictive environment at the end of the school year.</w:t>
            </w:r>
          </w:p>
        </w:tc>
        <w:tc>
          <w:tcPr>
            <w:tcW w:w="7380" w:type="dxa"/>
          </w:tcPr>
          <w:p w14:paraId="6B0EC850" w14:textId="77777777" w:rsidR="00CA7371" w:rsidRPr="00FA5ACA" w:rsidRDefault="00CA7371" w:rsidP="002C2385"/>
        </w:tc>
      </w:tr>
    </w:tbl>
    <w:p w14:paraId="54392A48" w14:textId="77777777" w:rsidR="0027001B" w:rsidRPr="00627697" w:rsidRDefault="00AA09B0" w:rsidP="00CA7371">
      <w:r w:rsidRPr="00627697">
        <w:rPr>
          <w:szCs w:val="20"/>
          <w:lang w:bidi="ar-SA"/>
        </w:rPr>
        <w:br w:type="page"/>
      </w:r>
    </w:p>
    <w:p w14:paraId="3018017F" w14:textId="77777777" w:rsidR="0027001B" w:rsidRPr="00627697" w:rsidRDefault="0027001B" w:rsidP="00A92736"/>
    <w:p w14:paraId="23FE29D9" w14:textId="77777777" w:rsidR="004B0774" w:rsidRDefault="004B0774" w:rsidP="00C724B0">
      <w:pPr>
        <w:pStyle w:val="Heading1"/>
        <w:sectPr w:rsidR="004B0774" w:rsidSect="00D25A87">
          <w:type w:val="continuous"/>
          <w:pgSz w:w="15840" w:h="12240" w:orient="landscape"/>
          <w:pgMar w:top="1440" w:right="1440" w:bottom="1440" w:left="1440" w:header="720" w:footer="720" w:gutter="0"/>
          <w:cols w:space="720"/>
          <w:titlePg/>
          <w:docGrid w:linePitch="360"/>
        </w:sectPr>
      </w:pPr>
    </w:p>
    <w:p w14:paraId="1F643B51" w14:textId="77777777" w:rsidR="00BB4195" w:rsidRDefault="00BB4195" w:rsidP="00BB4195">
      <w:pPr>
        <w:spacing w:after="0" w:line="2880" w:lineRule="auto"/>
        <w:jc w:val="left"/>
      </w:pPr>
      <w:bookmarkStart w:id="49" w:name="_Toc262297446"/>
    </w:p>
    <w:p w14:paraId="1DD8A31B" w14:textId="3D7A7EEE" w:rsidR="00192EDD" w:rsidRPr="00627697" w:rsidRDefault="00265D72" w:rsidP="00BB4195">
      <w:pPr>
        <w:pStyle w:val="Heading2"/>
      </w:pPr>
      <w:r>
        <w:t>Evidence</w:t>
      </w:r>
      <w:r w:rsidR="00D94212" w:rsidRPr="00627697">
        <w:t xml:space="preserve"> a</w:t>
      </w:r>
      <w:r w:rsidR="00DC39D0" w:rsidRPr="00627697">
        <w:t>nd</w:t>
      </w:r>
      <w:r w:rsidR="00D94212" w:rsidRPr="00627697">
        <w:t xml:space="preserve"> Artifacts</w:t>
      </w:r>
      <w:bookmarkEnd w:id="49"/>
    </w:p>
    <w:p w14:paraId="6AAB0C88" w14:textId="77777777" w:rsidR="00A2165A" w:rsidRPr="00627697" w:rsidRDefault="00447758">
      <w:pPr>
        <w:rPr>
          <w:b/>
          <w:bCs/>
          <w:szCs w:val="20"/>
          <w:lang w:bidi="ar-SA"/>
        </w:rPr>
      </w:pPr>
      <w:r w:rsidRPr="00627697">
        <w:rPr>
          <w:b/>
          <w:bCs/>
          <w:szCs w:val="20"/>
          <w:lang w:bidi="ar-SA"/>
        </w:rPr>
        <w:br w:type="page"/>
      </w:r>
    </w:p>
    <w:p w14:paraId="1FA41797" w14:textId="77777777" w:rsidR="00BB4195" w:rsidRDefault="00A2165A" w:rsidP="00BB4195">
      <w:pPr>
        <w:pStyle w:val="Heading3"/>
      </w:pPr>
      <w:bookmarkStart w:id="50" w:name="_Appendix_A"/>
      <w:bookmarkStart w:id="51" w:name="_Toc262297447"/>
      <w:bookmarkEnd w:id="50"/>
      <w:r w:rsidRPr="00BB4195">
        <w:rPr>
          <w:rStyle w:val="Heading3Char"/>
          <w:b/>
          <w:bCs/>
        </w:rPr>
        <w:lastRenderedPageBreak/>
        <w:t>Appendix A</w:t>
      </w:r>
      <w:r w:rsidR="00D94212" w:rsidRPr="00BB4195">
        <w:rPr>
          <w:rStyle w:val="Heading3Char"/>
          <w:b/>
          <w:bCs/>
        </w:rPr>
        <w:t xml:space="preserve">:  </w:t>
      </w:r>
      <w:r w:rsidRPr="00BB4195">
        <w:rPr>
          <w:rStyle w:val="Heading3Char"/>
          <w:b/>
          <w:bCs/>
        </w:rPr>
        <w:t>Course Syllabi</w:t>
      </w:r>
    </w:p>
    <w:p w14:paraId="384DD334" w14:textId="77777777" w:rsidR="00BB4195" w:rsidRDefault="00BB4195" w:rsidP="00BB4195">
      <w:pPr>
        <w:spacing w:after="0" w:line="240" w:lineRule="auto"/>
      </w:pPr>
    </w:p>
    <w:p w14:paraId="3F0CB092" w14:textId="5E6DE096" w:rsidR="00447758" w:rsidRPr="00BB4195" w:rsidRDefault="00265D72" w:rsidP="00BB4195">
      <w:pPr>
        <w:jc w:val="center"/>
        <w:rPr>
          <w:b/>
          <w:bCs/>
        </w:rPr>
      </w:pPr>
      <w:r w:rsidRPr="00BB4195">
        <w:rPr>
          <w:b/>
          <w:bCs/>
        </w:rPr>
        <w:t>[Include syllabus from all courses in curriculum.  A standard format is preferred.]</w:t>
      </w:r>
      <w:bookmarkEnd w:id="51"/>
    </w:p>
    <w:p w14:paraId="5A327CDA" w14:textId="77777777" w:rsidR="00447758" w:rsidRPr="00627697" w:rsidRDefault="00447758" w:rsidP="00BB4195">
      <w:pPr>
        <w:spacing w:after="0" w:line="240" w:lineRule="auto"/>
        <w:jc w:val="center"/>
        <w:rPr>
          <w:b/>
          <w:bCs/>
          <w:szCs w:val="20"/>
          <w:lang w:bidi="ar-SA"/>
        </w:rPr>
      </w:pPr>
    </w:p>
    <w:p w14:paraId="5DEC94B4" w14:textId="77777777" w:rsidR="00192EDD" w:rsidRPr="00627697" w:rsidRDefault="00A2165A" w:rsidP="00A92736">
      <w:pPr>
        <w:pStyle w:val="Heading3"/>
        <w:rPr>
          <w:lang w:bidi="ar-SA"/>
        </w:rPr>
      </w:pPr>
      <w:bookmarkStart w:id="52" w:name="_EVOC_501"/>
      <w:bookmarkStart w:id="53" w:name="_EVOC_505"/>
      <w:bookmarkEnd w:id="52"/>
      <w:bookmarkEnd w:id="53"/>
      <w:r w:rsidRPr="00627697">
        <w:rPr>
          <w:lang w:bidi="ar-SA"/>
        </w:rPr>
        <w:br w:type="page"/>
      </w:r>
      <w:bookmarkStart w:id="54" w:name="Syllabus501"/>
    </w:p>
    <w:p w14:paraId="5811B19A" w14:textId="77777777" w:rsidR="00AA09B0" w:rsidRPr="00627697" w:rsidRDefault="00AA09B0" w:rsidP="00A92736">
      <w:pPr>
        <w:rPr>
          <w:lang w:bidi="ar-SA"/>
        </w:rPr>
      </w:pPr>
      <w:bookmarkStart w:id="55" w:name="_EVOC_504_"/>
      <w:bookmarkStart w:id="56" w:name="Syllabus504"/>
      <w:bookmarkEnd w:id="54"/>
      <w:bookmarkEnd w:id="55"/>
      <w:bookmarkEnd w:id="56"/>
    </w:p>
    <w:p w14:paraId="39D75695" w14:textId="576FD943" w:rsidR="00AA09B0" w:rsidRDefault="00AA09B0" w:rsidP="00BB4195">
      <w:pPr>
        <w:pStyle w:val="Heading3"/>
      </w:pPr>
      <w:bookmarkStart w:id="57" w:name="_Appendix_B"/>
      <w:bookmarkStart w:id="58" w:name="_Toc262297448"/>
      <w:bookmarkEnd w:id="57"/>
      <w:r w:rsidRPr="00627697">
        <w:t>Appendix B</w:t>
      </w:r>
      <w:r w:rsidR="006032C4" w:rsidRPr="00627697">
        <w:t>:  Te</w:t>
      </w:r>
      <w:r w:rsidRPr="00627697">
        <w:t>xtbook Table of Contents</w:t>
      </w:r>
      <w:bookmarkEnd w:id="58"/>
    </w:p>
    <w:p w14:paraId="78EEBDD2" w14:textId="77777777" w:rsidR="00BB4195" w:rsidRPr="00BB4195" w:rsidRDefault="00BB4195" w:rsidP="00BB4195">
      <w:pPr>
        <w:spacing w:after="0" w:line="240" w:lineRule="auto"/>
      </w:pPr>
    </w:p>
    <w:p w14:paraId="152172B7" w14:textId="5FEC00EE" w:rsidR="00AA09B0" w:rsidRPr="00627697" w:rsidRDefault="00265D72" w:rsidP="00BB4195">
      <w:pPr>
        <w:jc w:val="center"/>
        <w:rPr>
          <w:b/>
          <w:bCs/>
          <w:szCs w:val="20"/>
          <w:lang w:bidi="ar-SA"/>
        </w:rPr>
      </w:pPr>
      <w:r>
        <w:rPr>
          <w:b/>
          <w:bCs/>
          <w:szCs w:val="20"/>
          <w:lang w:bidi="ar-SA"/>
        </w:rPr>
        <w:t>[Provide a copy of the Table of Contents for each textbook here.  Permission from copyright holder is recommended.</w:t>
      </w:r>
      <w:r w:rsidR="00BB4195">
        <w:rPr>
          <w:b/>
          <w:bCs/>
          <w:szCs w:val="20"/>
          <w:lang w:bidi="ar-SA"/>
        </w:rPr>
        <w:t>]</w:t>
      </w:r>
    </w:p>
    <w:p w14:paraId="0D09B533" w14:textId="0F80F859" w:rsidR="00245ED7" w:rsidRDefault="00171DA2" w:rsidP="00BB4195">
      <w:pPr>
        <w:pStyle w:val="Heading3"/>
      </w:pPr>
      <w:r w:rsidRPr="00627697">
        <w:rPr>
          <w:i/>
          <w:szCs w:val="20"/>
        </w:rPr>
        <w:br w:type="page"/>
      </w:r>
      <w:bookmarkStart w:id="59" w:name="TOC504"/>
      <w:bookmarkStart w:id="60" w:name="_Toc262297449"/>
      <w:bookmarkEnd w:id="59"/>
      <w:r w:rsidR="00A2165A" w:rsidRPr="00CA7371">
        <w:lastRenderedPageBreak/>
        <w:t xml:space="preserve">Appendix </w:t>
      </w:r>
      <w:r w:rsidR="00AA09B0" w:rsidRPr="00CA7371">
        <w:t>C</w:t>
      </w:r>
      <w:r w:rsidR="006129B0" w:rsidRPr="00CA7371">
        <w:t xml:space="preserve">:  </w:t>
      </w:r>
      <w:r w:rsidR="00447758" w:rsidRPr="00CA7371">
        <w:t xml:space="preserve">Faculty </w:t>
      </w:r>
      <w:r w:rsidR="00245ED7" w:rsidRPr="00CA7371">
        <w:t>Career Synopses</w:t>
      </w:r>
      <w:r w:rsidR="006129B0" w:rsidRPr="00CA7371">
        <w:t xml:space="preserve"> and Curriculum Vitae</w:t>
      </w:r>
      <w:bookmarkEnd w:id="60"/>
    </w:p>
    <w:p w14:paraId="61C41AB0" w14:textId="77777777" w:rsidR="00BB4195" w:rsidRPr="00BB4195" w:rsidRDefault="00BB4195" w:rsidP="00BB4195">
      <w:pPr>
        <w:spacing w:after="0" w:line="240" w:lineRule="auto"/>
      </w:pPr>
    </w:p>
    <w:p w14:paraId="48792FA2" w14:textId="77777777" w:rsidR="00265D72" w:rsidRPr="00BB4195" w:rsidRDefault="00265D72" w:rsidP="00BB4195">
      <w:pPr>
        <w:jc w:val="center"/>
        <w:rPr>
          <w:b/>
          <w:bCs/>
          <w:lang w:bidi="ar-SA"/>
        </w:rPr>
      </w:pPr>
      <w:r w:rsidRPr="00BB4195">
        <w:rPr>
          <w:b/>
          <w:bCs/>
          <w:lang w:bidi="ar-SA"/>
        </w:rPr>
        <w:t>[Include a curriculum vita from each faculty member here.]</w:t>
      </w:r>
    </w:p>
    <w:p w14:paraId="6C2525FA" w14:textId="77777777" w:rsidR="0027001B" w:rsidRPr="00627697" w:rsidRDefault="0027001B">
      <w:pPr>
        <w:rPr>
          <w:b/>
          <w:bCs/>
          <w:szCs w:val="20"/>
          <w:lang w:bidi="ar-SA"/>
        </w:rPr>
      </w:pPr>
      <w:r w:rsidRPr="00627697">
        <w:rPr>
          <w:szCs w:val="20"/>
          <w:lang w:bidi="ar-SA"/>
        </w:rPr>
        <w:br w:type="page"/>
      </w:r>
    </w:p>
    <w:p w14:paraId="67ED1DEE" w14:textId="2FEBCB73" w:rsidR="00B37781" w:rsidRDefault="00B37781" w:rsidP="009B4235">
      <w:pPr>
        <w:pStyle w:val="Heading3"/>
      </w:pPr>
      <w:bookmarkStart w:id="61" w:name="Brunkhorst"/>
      <w:bookmarkStart w:id="62" w:name="Advirosy"/>
      <w:bookmarkStart w:id="63" w:name="_Toc262297450"/>
      <w:bookmarkEnd w:id="61"/>
      <w:bookmarkEnd w:id="62"/>
      <w:r w:rsidRPr="00627697">
        <w:lastRenderedPageBreak/>
        <w:t xml:space="preserve">Appendix </w:t>
      </w:r>
      <w:r w:rsidR="00694686" w:rsidRPr="00627697">
        <w:t>D</w:t>
      </w:r>
      <w:r w:rsidR="008F2D20" w:rsidRPr="00627697">
        <w:t xml:space="preserve">:  </w:t>
      </w:r>
      <w:bookmarkStart w:id="64" w:name="_CSUSB_CTE_Advisory"/>
      <w:bookmarkEnd w:id="64"/>
      <w:r w:rsidR="00D83967" w:rsidRPr="00627697">
        <w:t>Advisory Committee</w:t>
      </w:r>
      <w:r w:rsidR="008F2D20" w:rsidRPr="00627697">
        <w:t xml:space="preserve"> Agenda and Minutes</w:t>
      </w:r>
      <w:bookmarkEnd w:id="63"/>
    </w:p>
    <w:p w14:paraId="03E8B693" w14:textId="77777777" w:rsidR="009B4235" w:rsidRPr="009B4235" w:rsidRDefault="009B4235" w:rsidP="009B4235">
      <w:pPr>
        <w:spacing w:after="0" w:line="240" w:lineRule="auto"/>
        <w:rPr>
          <w:lang w:bidi="ar-SA"/>
        </w:rPr>
      </w:pPr>
    </w:p>
    <w:p w14:paraId="0EA210D3" w14:textId="77777777" w:rsidR="00B37781" w:rsidRPr="00627697" w:rsidRDefault="00265D72" w:rsidP="009B4235">
      <w:pPr>
        <w:jc w:val="center"/>
        <w:rPr>
          <w:lang w:bidi="ar-SA"/>
        </w:rPr>
      </w:pPr>
      <w:r>
        <w:rPr>
          <w:lang w:bidi="ar-SA"/>
        </w:rPr>
        <w:t>[Include advisory committee agendas and minutes if applicable to your program.</w:t>
      </w:r>
      <w:r w:rsidR="00BB7FE6">
        <w:rPr>
          <w:lang w:bidi="ar-SA"/>
        </w:rPr>
        <w:t xml:space="preserve">  Include a list of members, their title, and their function if not stated in the minutes.</w:t>
      </w:r>
      <w:r>
        <w:rPr>
          <w:lang w:bidi="ar-SA"/>
        </w:rPr>
        <w:t>]</w:t>
      </w:r>
    </w:p>
    <w:p w14:paraId="7A6C2E90" w14:textId="2D41A455" w:rsidR="00694686" w:rsidRDefault="00B37781" w:rsidP="003F12CE">
      <w:pPr>
        <w:pStyle w:val="Heading3"/>
      </w:pPr>
      <w:r w:rsidRPr="00627697">
        <w:rPr>
          <w:szCs w:val="20"/>
          <w:lang w:bidi="ar-SA"/>
        </w:rPr>
        <w:br w:type="page"/>
      </w:r>
      <w:bookmarkStart w:id="65" w:name="_Toc262297451"/>
      <w:r w:rsidR="00694686" w:rsidRPr="00CA7371">
        <w:lastRenderedPageBreak/>
        <w:t>Appendix E</w:t>
      </w:r>
      <w:r w:rsidR="008F2D20" w:rsidRPr="00CA7371">
        <w:t>:  Letter of Agreement and Memorandum of Understanding</w:t>
      </w:r>
      <w:bookmarkEnd w:id="65"/>
    </w:p>
    <w:p w14:paraId="4A4A283F" w14:textId="77777777" w:rsidR="003F12CE" w:rsidRPr="003F12CE" w:rsidRDefault="003F12CE" w:rsidP="003F12CE">
      <w:pPr>
        <w:spacing w:after="0" w:line="240" w:lineRule="auto"/>
      </w:pPr>
    </w:p>
    <w:p w14:paraId="23434832" w14:textId="77777777" w:rsidR="00BB7FE6" w:rsidRDefault="00BB7FE6" w:rsidP="003F12CE">
      <w:pPr>
        <w:jc w:val="center"/>
      </w:pPr>
      <w:r w:rsidRPr="00BB7FE6">
        <w:t>[Include copies of letters-of-agreement and memorandums of understanding here.]</w:t>
      </w:r>
    </w:p>
    <w:p w14:paraId="67355FA2" w14:textId="77777777" w:rsidR="00BB7FE6" w:rsidRDefault="00BB7FE6">
      <w:r>
        <w:br w:type="page"/>
      </w:r>
    </w:p>
    <w:p w14:paraId="05A2AFE8" w14:textId="3679B7AF" w:rsidR="00BB7FE6" w:rsidRDefault="00BB7FE6" w:rsidP="00F1232C">
      <w:pPr>
        <w:pStyle w:val="Heading3"/>
      </w:pPr>
      <w:bookmarkStart w:id="66" w:name="_Toc262297452"/>
      <w:r w:rsidRPr="00CA7371">
        <w:lastRenderedPageBreak/>
        <w:t>Appendix F:</w:t>
      </w:r>
      <w:bookmarkEnd w:id="66"/>
    </w:p>
    <w:p w14:paraId="76888FC2" w14:textId="77777777" w:rsidR="00F1232C" w:rsidRPr="00F1232C" w:rsidRDefault="00F1232C" w:rsidP="00F1232C">
      <w:pPr>
        <w:spacing w:after="0" w:line="240" w:lineRule="auto"/>
      </w:pPr>
    </w:p>
    <w:p w14:paraId="52B6C71B" w14:textId="52B8A352" w:rsidR="00CA7371" w:rsidRDefault="00BB7FE6" w:rsidP="00F1232C">
      <w:pPr>
        <w:jc w:val="center"/>
      </w:pPr>
      <w:r w:rsidRPr="00BB7FE6">
        <w:t xml:space="preserve">[Include </w:t>
      </w:r>
      <w:r>
        <w:t xml:space="preserve">other relevant evidence or artifacts such as evaluation tools, rubrics, examples of student work, or portfolios, assessment data, annual reports, </w:t>
      </w:r>
      <w:proofErr w:type="spellStart"/>
      <w:r>
        <w:t>etc</w:t>
      </w:r>
      <w:proofErr w:type="spellEnd"/>
      <w:r>
        <w:t xml:space="preserve"> that you feel are applicable the review of your program</w:t>
      </w:r>
      <w:r w:rsidRPr="00BB7FE6">
        <w:t>.]</w:t>
      </w:r>
    </w:p>
    <w:p w14:paraId="105E65DF" w14:textId="77777777" w:rsidR="00F1232C" w:rsidRDefault="00F1232C" w:rsidP="00F1232C">
      <w:pPr>
        <w:spacing w:after="0" w:line="240" w:lineRule="auto"/>
      </w:pPr>
    </w:p>
    <w:sectPr w:rsidR="00F1232C" w:rsidSect="00D25A87">
      <w:type w:val="continuous"/>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B5334" w14:textId="77777777" w:rsidR="00795E97" w:rsidRDefault="00795E97" w:rsidP="00800E72">
      <w:pPr>
        <w:spacing w:after="0" w:line="240" w:lineRule="auto"/>
      </w:pPr>
      <w:r>
        <w:separator/>
      </w:r>
    </w:p>
    <w:p w14:paraId="1A33CECE" w14:textId="77777777" w:rsidR="00795E97" w:rsidRDefault="00795E97"/>
    <w:p w14:paraId="5091714D" w14:textId="77777777" w:rsidR="00795E97" w:rsidRDefault="00795E97" w:rsidP="00A92736"/>
  </w:endnote>
  <w:endnote w:type="continuationSeparator" w:id="0">
    <w:p w14:paraId="06B42692" w14:textId="77777777" w:rsidR="00795E97" w:rsidRDefault="00795E97" w:rsidP="00800E72">
      <w:pPr>
        <w:spacing w:after="0" w:line="240" w:lineRule="auto"/>
      </w:pPr>
      <w:r>
        <w:continuationSeparator/>
      </w:r>
    </w:p>
    <w:p w14:paraId="48385D92" w14:textId="77777777" w:rsidR="00795E97" w:rsidRDefault="00795E97"/>
    <w:p w14:paraId="356A7C29" w14:textId="77777777" w:rsidR="00795E97" w:rsidRDefault="00795E97" w:rsidP="00A927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7A568" w14:textId="2AB3968C" w:rsidR="00F3583A" w:rsidRPr="003C311B" w:rsidRDefault="00F3583A" w:rsidP="00D84E3D">
    <w:pPr>
      <w:pStyle w:val="Footer"/>
      <w:pBdr>
        <w:top w:val="thinThickSmallGap" w:sz="24" w:space="1" w:color="585858"/>
      </w:pBdr>
      <w:tabs>
        <w:tab w:val="clear" w:pos="4680"/>
        <w:tab w:val="clear" w:pos="9360"/>
        <w:tab w:val="right" w:pos="12960"/>
      </w:tabs>
      <w:rPr>
        <w:rFonts w:ascii="Arial" w:hAnsi="Arial"/>
      </w:rPr>
    </w:pPr>
    <w:r>
      <w:rPr>
        <w:rFonts w:ascii="Arial" w:hAnsi="Arial"/>
      </w:rPr>
      <w:t>CTE Narrative Template</w:t>
    </w:r>
    <w:r>
      <w:rPr>
        <w:rFonts w:ascii="Arial" w:hAnsi="Arial"/>
      </w:rPr>
      <w:tab/>
      <w:t xml:space="preserve">Page </w:t>
    </w:r>
    <w:r>
      <w:fldChar w:fldCharType="begin"/>
    </w:r>
    <w:r>
      <w:instrText xml:space="preserve"> PAGE   \* MERGEFORMAT </w:instrText>
    </w:r>
    <w:r>
      <w:fldChar w:fldCharType="separate"/>
    </w:r>
    <w:r w:rsidRPr="00184D61">
      <w:rPr>
        <w:rFonts w:ascii="Arial" w:hAnsi="Arial"/>
        <w:noProof/>
      </w:rPr>
      <w:t>52</w:t>
    </w:r>
    <w:r>
      <w:fldChar w:fldCharType="end"/>
    </w:r>
  </w:p>
  <w:p w14:paraId="75117632" w14:textId="77777777" w:rsidR="00F3583A" w:rsidRPr="00D47783" w:rsidRDefault="00F3583A" w:rsidP="00D47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6ED60" w14:textId="77777777" w:rsidR="00F3583A" w:rsidRPr="003C311B" w:rsidRDefault="00F3583A" w:rsidP="00FA5ACA">
    <w:pPr>
      <w:pStyle w:val="Footer"/>
      <w:pBdr>
        <w:top w:val="thinThickSmallGap" w:sz="24" w:space="1" w:color="585858"/>
      </w:pBdr>
      <w:tabs>
        <w:tab w:val="clear" w:pos="4680"/>
        <w:tab w:val="clear" w:pos="9360"/>
        <w:tab w:val="right" w:pos="12960"/>
      </w:tabs>
      <w:rPr>
        <w:rFonts w:ascii="Arial" w:hAnsi="Arial"/>
      </w:rPr>
    </w:pPr>
    <w:r>
      <w:rPr>
        <w:rFonts w:ascii="Arial" w:hAnsi="Arial"/>
      </w:rPr>
      <w:t xml:space="preserve">CTE Narrative </w:t>
    </w:r>
    <w:proofErr w:type="gramStart"/>
    <w:r>
      <w:rPr>
        <w:rFonts w:ascii="Arial" w:hAnsi="Arial"/>
      </w:rPr>
      <w:t xml:space="preserve">Template  </w:t>
    </w:r>
    <w:r>
      <w:rPr>
        <w:rFonts w:ascii="Arial" w:hAnsi="Arial"/>
      </w:rPr>
      <w:tab/>
    </w:r>
    <w:proofErr w:type="gramEnd"/>
    <w:r>
      <w:rPr>
        <w:rFonts w:ascii="Arial" w:hAnsi="Arial"/>
      </w:rPr>
      <w:t xml:space="preserve">Page </w:t>
    </w:r>
    <w:r>
      <w:fldChar w:fldCharType="begin"/>
    </w:r>
    <w:r>
      <w:instrText xml:space="preserve"> PAGE   \* MERGEFORMAT </w:instrText>
    </w:r>
    <w:r>
      <w:fldChar w:fldCharType="separate"/>
    </w:r>
    <w:r w:rsidRPr="007C0D59">
      <w:rPr>
        <w:rFonts w:ascii="Arial" w:hAnsi="Arial"/>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B95B2" w14:textId="77777777" w:rsidR="00795E97" w:rsidRDefault="00795E97" w:rsidP="00800E72">
      <w:pPr>
        <w:spacing w:after="0" w:line="240" w:lineRule="auto"/>
      </w:pPr>
      <w:r>
        <w:separator/>
      </w:r>
    </w:p>
    <w:p w14:paraId="0FFA7C6C" w14:textId="77777777" w:rsidR="00795E97" w:rsidRDefault="00795E97"/>
    <w:p w14:paraId="1783FBE6" w14:textId="77777777" w:rsidR="00795E97" w:rsidRDefault="00795E97" w:rsidP="00A92736"/>
  </w:footnote>
  <w:footnote w:type="continuationSeparator" w:id="0">
    <w:p w14:paraId="2BDA2488" w14:textId="77777777" w:rsidR="00795E97" w:rsidRDefault="00795E97" w:rsidP="00800E72">
      <w:pPr>
        <w:spacing w:after="0" w:line="240" w:lineRule="auto"/>
      </w:pPr>
      <w:r>
        <w:continuationSeparator/>
      </w:r>
    </w:p>
    <w:p w14:paraId="6AB838D7" w14:textId="77777777" w:rsidR="00795E97" w:rsidRDefault="00795E97"/>
    <w:p w14:paraId="38697C3A" w14:textId="77777777" w:rsidR="00795E97" w:rsidRDefault="00795E97" w:rsidP="00A927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C6F69"/>
    <w:multiLevelType w:val="multilevel"/>
    <w:tmpl w:val="9B28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717C3"/>
    <w:multiLevelType w:val="hybridMultilevel"/>
    <w:tmpl w:val="AA52A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31C7F"/>
    <w:multiLevelType w:val="hybridMultilevel"/>
    <w:tmpl w:val="C7B64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231EB"/>
    <w:multiLevelType w:val="multilevel"/>
    <w:tmpl w:val="82C0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55362"/>
    <w:multiLevelType w:val="multilevel"/>
    <w:tmpl w:val="36B4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531BC4"/>
    <w:multiLevelType w:val="hybridMultilevel"/>
    <w:tmpl w:val="D6E8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B2A36"/>
    <w:multiLevelType w:val="multilevel"/>
    <w:tmpl w:val="3AF8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71046"/>
    <w:multiLevelType w:val="hybridMultilevel"/>
    <w:tmpl w:val="DB3E5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E43EC7"/>
    <w:multiLevelType w:val="multilevel"/>
    <w:tmpl w:val="2AFC8CD4"/>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9" w15:restartNumberingAfterBreak="0">
    <w:nsid w:val="17FD67E3"/>
    <w:multiLevelType w:val="hybridMultilevel"/>
    <w:tmpl w:val="63868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C49F7"/>
    <w:multiLevelType w:val="hybridMultilevel"/>
    <w:tmpl w:val="9452A5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E820E4"/>
    <w:multiLevelType w:val="hybridMultilevel"/>
    <w:tmpl w:val="FFE8E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05E59"/>
    <w:multiLevelType w:val="multilevel"/>
    <w:tmpl w:val="A2B0E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6A6675"/>
    <w:multiLevelType w:val="multilevel"/>
    <w:tmpl w:val="CAF2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430BF"/>
    <w:multiLevelType w:val="multilevel"/>
    <w:tmpl w:val="BD1A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D67809"/>
    <w:multiLevelType w:val="multilevel"/>
    <w:tmpl w:val="79F0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1B6955"/>
    <w:multiLevelType w:val="hybridMultilevel"/>
    <w:tmpl w:val="610E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40562E"/>
    <w:multiLevelType w:val="hybridMultilevel"/>
    <w:tmpl w:val="E17A8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4AD42C0"/>
    <w:multiLevelType w:val="multilevel"/>
    <w:tmpl w:val="79F0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8D39FE"/>
    <w:multiLevelType w:val="multilevel"/>
    <w:tmpl w:val="FFE0D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832CCD"/>
    <w:multiLevelType w:val="multilevel"/>
    <w:tmpl w:val="D8A6E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A88701C"/>
    <w:multiLevelType w:val="multilevel"/>
    <w:tmpl w:val="6268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A228E1"/>
    <w:multiLevelType w:val="multilevel"/>
    <w:tmpl w:val="16DE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0E572EE"/>
    <w:multiLevelType w:val="hybridMultilevel"/>
    <w:tmpl w:val="C43E3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1EA236B"/>
    <w:multiLevelType w:val="hybridMultilevel"/>
    <w:tmpl w:val="E626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826137"/>
    <w:multiLevelType w:val="hybridMultilevel"/>
    <w:tmpl w:val="ACBC5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81B320C"/>
    <w:multiLevelType w:val="hybridMultilevel"/>
    <w:tmpl w:val="60B22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8C0389"/>
    <w:multiLevelType w:val="multilevel"/>
    <w:tmpl w:val="B148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5F0DBB"/>
    <w:multiLevelType w:val="hybridMultilevel"/>
    <w:tmpl w:val="CD1C5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B241035"/>
    <w:multiLevelType w:val="hybridMultilevel"/>
    <w:tmpl w:val="D97AA1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E6616E9"/>
    <w:multiLevelType w:val="hybridMultilevel"/>
    <w:tmpl w:val="B6AA2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44B4092"/>
    <w:multiLevelType w:val="hybridMultilevel"/>
    <w:tmpl w:val="D2D85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4A360E9"/>
    <w:multiLevelType w:val="hybridMultilevel"/>
    <w:tmpl w:val="3168A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6E8683D"/>
    <w:multiLevelType w:val="multilevel"/>
    <w:tmpl w:val="5F84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8D84918"/>
    <w:multiLevelType w:val="multilevel"/>
    <w:tmpl w:val="CC16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DF4536"/>
    <w:multiLevelType w:val="multilevel"/>
    <w:tmpl w:val="E46EE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AFC7642"/>
    <w:multiLevelType w:val="multilevel"/>
    <w:tmpl w:val="2E9EC8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51783D0F"/>
    <w:multiLevelType w:val="hybridMultilevel"/>
    <w:tmpl w:val="35683F8A"/>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8" w15:restartNumberingAfterBreak="0">
    <w:nsid w:val="517C50F1"/>
    <w:multiLevelType w:val="multilevel"/>
    <w:tmpl w:val="E74AA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65126EC"/>
    <w:multiLevelType w:val="hybridMultilevel"/>
    <w:tmpl w:val="BD10AE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91D06F2"/>
    <w:multiLevelType w:val="multilevel"/>
    <w:tmpl w:val="6046D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97F21A9"/>
    <w:multiLevelType w:val="multilevel"/>
    <w:tmpl w:val="22683AB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5FFA4F1D"/>
    <w:multiLevelType w:val="hybridMultilevel"/>
    <w:tmpl w:val="0BB8F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893A1E"/>
    <w:multiLevelType w:val="hybridMultilevel"/>
    <w:tmpl w:val="C6A4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F86A29"/>
    <w:multiLevelType w:val="hybridMultilevel"/>
    <w:tmpl w:val="CB8C5A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8B35E2E"/>
    <w:multiLevelType w:val="hybridMultilevel"/>
    <w:tmpl w:val="B7E2D0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9CC7DDE"/>
    <w:multiLevelType w:val="hybridMultilevel"/>
    <w:tmpl w:val="DE50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A2D1FB2"/>
    <w:multiLevelType w:val="multilevel"/>
    <w:tmpl w:val="58E48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A8A006F"/>
    <w:multiLevelType w:val="multilevel"/>
    <w:tmpl w:val="95E2A71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9" w15:restartNumberingAfterBreak="0">
    <w:nsid w:val="6E452EC9"/>
    <w:multiLevelType w:val="hybridMultilevel"/>
    <w:tmpl w:val="2B9C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BE1D25"/>
    <w:multiLevelType w:val="multilevel"/>
    <w:tmpl w:val="79F0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00822B7"/>
    <w:multiLevelType w:val="hybridMultilevel"/>
    <w:tmpl w:val="FBF204D6"/>
    <w:lvl w:ilvl="0" w:tplc="33CEF582">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0E12D96"/>
    <w:multiLevelType w:val="hybridMultilevel"/>
    <w:tmpl w:val="26584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6AA285C"/>
    <w:multiLevelType w:val="multilevel"/>
    <w:tmpl w:val="FBD82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78206E1"/>
    <w:multiLevelType w:val="hybridMultilevel"/>
    <w:tmpl w:val="73CE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943DA8"/>
    <w:multiLevelType w:val="hybridMultilevel"/>
    <w:tmpl w:val="191E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271D35"/>
    <w:multiLevelType w:val="hybridMultilevel"/>
    <w:tmpl w:val="7076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096E83"/>
    <w:multiLevelType w:val="multilevel"/>
    <w:tmpl w:val="C6D6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1"/>
  </w:num>
  <w:num w:numId="2">
    <w:abstractNumId w:val="9"/>
  </w:num>
  <w:num w:numId="3">
    <w:abstractNumId w:val="36"/>
  </w:num>
  <w:num w:numId="4">
    <w:abstractNumId w:val="50"/>
  </w:num>
  <w:num w:numId="5">
    <w:abstractNumId w:val="7"/>
  </w:num>
  <w:num w:numId="6">
    <w:abstractNumId w:val="18"/>
  </w:num>
  <w:num w:numId="7">
    <w:abstractNumId w:val="15"/>
  </w:num>
  <w:num w:numId="8">
    <w:abstractNumId w:val="56"/>
  </w:num>
  <w:num w:numId="9">
    <w:abstractNumId w:val="54"/>
  </w:num>
  <w:num w:numId="10">
    <w:abstractNumId w:val="14"/>
  </w:num>
  <w:num w:numId="11">
    <w:abstractNumId w:val="33"/>
  </w:num>
  <w:num w:numId="12">
    <w:abstractNumId w:val="32"/>
  </w:num>
  <w:num w:numId="13">
    <w:abstractNumId w:val="0"/>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48"/>
  </w:num>
  <w:num w:numId="17">
    <w:abstractNumId w:val="10"/>
  </w:num>
  <w:num w:numId="18">
    <w:abstractNumId w:val="28"/>
  </w:num>
  <w:num w:numId="19">
    <w:abstractNumId w:val="2"/>
  </w:num>
  <w:num w:numId="20">
    <w:abstractNumId w:val="16"/>
  </w:num>
  <w:num w:numId="21">
    <w:abstractNumId w:val="24"/>
  </w:num>
  <w:num w:numId="22">
    <w:abstractNumId w:val="49"/>
  </w:num>
  <w:num w:numId="23">
    <w:abstractNumId w:val="43"/>
  </w:num>
  <w:num w:numId="24">
    <w:abstractNumId w:val="17"/>
  </w:num>
  <w:num w:numId="25">
    <w:abstractNumId w:val="39"/>
  </w:num>
  <w:num w:numId="26">
    <w:abstractNumId w:val="23"/>
  </w:num>
  <w:num w:numId="27">
    <w:abstractNumId w:val="44"/>
  </w:num>
  <w:num w:numId="28">
    <w:abstractNumId w:val="45"/>
  </w:num>
  <w:num w:numId="29">
    <w:abstractNumId w:val="29"/>
  </w:num>
  <w:num w:numId="30">
    <w:abstractNumId w:val="31"/>
  </w:num>
  <w:num w:numId="31">
    <w:abstractNumId w:val="25"/>
  </w:num>
  <w:num w:numId="32">
    <w:abstractNumId w:val="20"/>
  </w:num>
  <w:num w:numId="33">
    <w:abstractNumId w:val="57"/>
  </w:num>
  <w:num w:numId="34">
    <w:abstractNumId w:val="13"/>
  </w:num>
  <w:num w:numId="35">
    <w:abstractNumId w:val="22"/>
  </w:num>
  <w:num w:numId="36">
    <w:abstractNumId w:val="27"/>
  </w:num>
  <w:num w:numId="37">
    <w:abstractNumId w:val="35"/>
  </w:num>
  <w:num w:numId="38">
    <w:abstractNumId w:val="21"/>
  </w:num>
  <w:num w:numId="39">
    <w:abstractNumId w:val="53"/>
  </w:num>
  <w:num w:numId="40">
    <w:abstractNumId w:val="38"/>
  </w:num>
  <w:num w:numId="41">
    <w:abstractNumId w:val="34"/>
  </w:num>
  <w:num w:numId="42">
    <w:abstractNumId w:val="12"/>
  </w:num>
  <w:num w:numId="43">
    <w:abstractNumId w:val="4"/>
  </w:num>
  <w:num w:numId="44">
    <w:abstractNumId w:val="47"/>
  </w:num>
  <w:num w:numId="45">
    <w:abstractNumId w:val="3"/>
  </w:num>
  <w:num w:numId="46">
    <w:abstractNumId w:val="19"/>
  </w:num>
  <w:num w:numId="47">
    <w:abstractNumId w:val="40"/>
  </w:num>
  <w:num w:numId="48">
    <w:abstractNumId w:val="37"/>
  </w:num>
  <w:num w:numId="49">
    <w:abstractNumId w:val="30"/>
  </w:num>
  <w:num w:numId="50">
    <w:abstractNumId w:val="42"/>
  </w:num>
  <w:num w:numId="51">
    <w:abstractNumId w:val="46"/>
  </w:num>
  <w:num w:numId="52">
    <w:abstractNumId w:val="55"/>
  </w:num>
  <w:num w:numId="53">
    <w:abstractNumId w:val="26"/>
  </w:num>
  <w:num w:numId="54">
    <w:abstractNumId w:val="1"/>
  </w:num>
  <w:num w:numId="55">
    <w:abstractNumId w:val="11"/>
  </w:num>
  <w:num w:numId="56">
    <w:abstractNumId w:val="52"/>
  </w:num>
  <w:num w:numId="57">
    <w:abstractNumId w:val="5"/>
  </w:num>
  <w:num w:numId="58">
    <w:abstractNumId w:val="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72"/>
    <w:rsid w:val="00000981"/>
    <w:rsid w:val="0000193F"/>
    <w:rsid w:val="000053C9"/>
    <w:rsid w:val="00010884"/>
    <w:rsid w:val="00010B68"/>
    <w:rsid w:val="0002057A"/>
    <w:rsid w:val="00035349"/>
    <w:rsid w:val="00041FFF"/>
    <w:rsid w:val="000428CF"/>
    <w:rsid w:val="000434E1"/>
    <w:rsid w:val="00043FFF"/>
    <w:rsid w:val="000449A2"/>
    <w:rsid w:val="00045CED"/>
    <w:rsid w:val="000467A6"/>
    <w:rsid w:val="00047790"/>
    <w:rsid w:val="00051104"/>
    <w:rsid w:val="00053945"/>
    <w:rsid w:val="00062957"/>
    <w:rsid w:val="00062F87"/>
    <w:rsid w:val="00074608"/>
    <w:rsid w:val="00074CF6"/>
    <w:rsid w:val="00076567"/>
    <w:rsid w:val="000777BF"/>
    <w:rsid w:val="000779BC"/>
    <w:rsid w:val="00081069"/>
    <w:rsid w:val="0008245E"/>
    <w:rsid w:val="00085CC7"/>
    <w:rsid w:val="00086192"/>
    <w:rsid w:val="0009040B"/>
    <w:rsid w:val="00095345"/>
    <w:rsid w:val="00095547"/>
    <w:rsid w:val="000A04CF"/>
    <w:rsid w:val="000A287D"/>
    <w:rsid w:val="000A2913"/>
    <w:rsid w:val="000A3E71"/>
    <w:rsid w:val="000B5808"/>
    <w:rsid w:val="000B74F1"/>
    <w:rsid w:val="000C199A"/>
    <w:rsid w:val="000D0816"/>
    <w:rsid w:val="000D480F"/>
    <w:rsid w:val="000D7468"/>
    <w:rsid w:val="000E46A0"/>
    <w:rsid w:val="000E4DD6"/>
    <w:rsid w:val="000F4DBD"/>
    <w:rsid w:val="00102401"/>
    <w:rsid w:val="00103BF1"/>
    <w:rsid w:val="00103E17"/>
    <w:rsid w:val="00111012"/>
    <w:rsid w:val="00116246"/>
    <w:rsid w:val="0012759E"/>
    <w:rsid w:val="00130568"/>
    <w:rsid w:val="00132A33"/>
    <w:rsid w:val="001371D2"/>
    <w:rsid w:val="00145F47"/>
    <w:rsid w:val="00152505"/>
    <w:rsid w:val="00157111"/>
    <w:rsid w:val="001577F6"/>
    <w:rsid w:val="001627E8"/>
    <w:rsid w:val="00166CD6"/>
    <w:rsid w:val="00171DA2"/>
    <w:rsid w:val="00176E6A"/>
    <w:rsid w:val="00184D61"/>
    <w:rsid w:val="0019218A"/>
    <w:rsid w:val="00192DA7"/>
    <w:rsid w:val="00192EDD"/>
    <w:rsid w:val="001951FB"/>
    <w:rsid w:val="001A187C"/>
    <w:rsid w:val="001A1FD0"/>
    <w:rsid w:val="001A44F7"/>
    <w:rsid w:val="001A6F32"/>
    <w:rsid w:val="001C58EE"/>
    <w:rsid w:val="001D4436"/>
    <w:rsid w:val="001E1CAE"/>
    <w:rsid w:val="001E2988"/>
    <w:rsid w:val="001E2A7B"/>
    <w:rsid w:val="001E471D"/>
    <w:rsid w:val="001F4DEC"/>
    <w:rsid w:val="001F4F64"/>
    <w:rsid w:val="001F6E30"/>
    <w:rsid w:val="002015E9"/>
    <w:rsid w:val="00207CEC"/>
    <w:rsid w:val="002107A7"/>
    <w:rsid w:val="00211BE3"/>
    <w:rsid w:val="00212ECD"/>
    <w:rsid w:val="00215388"/>
    <w:rsid w:val="00216BB4"/>
    <w:rsid w:val="00217EF6"/>
    <w:rsid w:val="00223B75"/>
    <w:rsid w:val="00233DC5"/>
    <w:rsid w:val="00236D0C"/>
    <w:rsid w:val="00236EFE"/>
    <w:rsid w:val="00237B61"/>
    <w:rsid w:val="00237FC8"/>
    <w:rsid w:val="00243CEF"/>
    <w:rsid w:val="00245ED7"/>
    <w:rsid w:val="0024749C"/>
    <w:rsid w:val="00247B80"/>
    <w:rsid w:val="00247CFF"/>
    <w:rsid w:val="00250B6B"/>
    <w:rsid w:val="00252BDE"/>
    <w:rsid w:val="00254B99"/>
    <w:rsid w:val="00257F6D"/>
    <w:rsid w:val="002603E5"/>
    <w:rsid w:val="00261533"/>
    <w:rsid w:val="00263120"/>
    <w:rsid w:val="00264C9C"/>
    <w:rsid w:val="00265D72"/>
    <w:rsid w:val="002660B9"/>
    <w:rsid w:val="00266623"/>
    <w:rsid w:val="0027001B"/>
    <w:rsid w:val="00272492"/>
    <w:rsid w:val="00276508"/>
    <w:rsid w:val="0029191B"/>
    <w:rsid w:val="00291A51"/>
    <w:rsid w:val="002934D1"/>
    <w:rsid w:val="002A07A2"/>
    <w:rsid w:val="002A2DA2"/>
    <w:rsid w:val="002A3CFE"/>
    <w:rsid w:val="002A67E6"/>
    <w:rsid w:val="002B2A83"/>
    <w:rsid w:val="002B722B"/>
    <w:rsid w:val="002C2385"/>
    <w:rsid w:val="002C6C3F"/>
    <w:rsid w:val="002C727F"/>
    <w:rsid w:val="002D34DB"/>
    <w:rsid w:val="002D545B"/>
    <w:rsid w:val="002D6858"/>
    <w:rsid w:val="002D7229"/>
    <w:rsid w:val="002E033D"/>
    <w:rsid w:val="002E2148"/>
    <w:rsid w:val="002E455D"/>
    <w:rsid w:val="002E4B62"/>
    <w:rsid w:val="002E7320"/>
    <w:rsid w:val="002F0316"/>
    <w:rsid w:val="002F19BC"/>
    <w:rsid w:val="002F1A3A"/>
    <w:rsid w:val="002F2B6A"/>
    <w:rsid w:val="002F5144"/>
    <w:rsid w:val="00301C76"/>
    <w:rsid w:val="0030332B"/>
    <w:rsid w:val="0031267F"/>
    <w:rsid w:val="00312915"/>
    <w:rsid w:val="00317A96"/>
    <w:rsid w:val="00320E7D"/>
    <w:rsid w:val="00321343"/>
    <w:rsid w:val="00325DCA"/>
    <w:rsid w:val="003261A7"/>
    <w:rsid w:val="003300A5"/>
    <w:rsid w:val="003401F6"/>
    <w:rsid w:val="0034131F"/>
    <w:rsid w:val="003416AD"/>
    <w:rsid w:val="00353674"/>
    <w:rsid w:val="00354468"/>
    <w:rsid w:val="0035685A"/>
    <w:rsid w:val="00357330"/>
    <w:rsid w:val="003574D3"/>
    <w:rsid w:val="00365CD5"/>
    <w:rsid w:val="0036692B"/>
    <w:rsid w:val="00371F86"/>
    <w:rsid w:val="00374008"/>
    <w:rsid w:val="003758A7"/>
    <w:rsid w:val="003775A6"/>
    <w:rsid w:val="00380EE4"/>
    <w:rsid w:val="00380F55"/>
    <w:rsid w:val="00383135"/>
    <w:rsid w:val="00391951"/>
    <w:rsid w:val="003939E3"/>
    <w:rsid w:val="003A658B"/>
    <w:rsid w:val="003B3F74"/>
    <w:rsid w:val="003B65AD"/>
    <w:rsid w:val="003C2870"/>
    <w:rsid w:val="003C311B"/>
    <w:rsid w:val="003C44F9"/>
    <w:rsid w:val="003C60A9"/>
    <w:rsid w:val="003D0803"/>
    <w:rsid w:val="003D0A06"/>
    <w:rsid w:val="003D2696"/>
    <w:rsid w:val="003D6E54"/>
    <w:rsid w:val="003E6941"/>
    <w:rsid w:val="003F0238"/>
    <w:rsid w:val="003F12CE"/>
    <w:rsid w:val="003F4E25"/>
    <w:rsid w:val="00402F8E"/>
    <w:rsid w:val="004100C3"/>
    <w:rsid w:val="004107C7"/>
    <w:rsid w:val="00411912"/>
    <w:rsid w:val="00413354"/>
    <w:rsid w:val="00414FED"/>
    <w:rsid w:val="00417C53"/>
    <w:rsid w:val="00421F96"/>
    <w:rsid w:val="00432B72"/>
    <w:rsid w:val="00433FDF"/>
    <w:rsid w:val="0043535D"/>
    <w:rsid w:val="004427BE"/>
    <w:rsid w:val="004444E9"/>
    <w:rsid w:val="004445F3"/>
    <w:rsid w:val="00447758"/>
    <w:rsid w:val="0045102F"/>
    <w:rsid w:val="00453BF9"/>
    <w:rsid w:val="00454A54"/>
    <w:rsid w:val="004606C9"/>
    <w:rsid w:val="00461CBA"/>
    <w:rsid w:val="00464A79"/>
    <w:rsid w:val="004761EB"/>
    <w:rsid w:val="00480A56"/>
    <w:rsid w:val="00480EF9"/>
    <w:rsid w:val="00484D02"/>
    <w:rsid w:val="00497427"/>
    <w:rsid w:val="004A22FB"/>
    <w:rsid w:val="004B0774"/>
    <w:rsid w:val="004B6764"/>
    <w:rsid w:val="004C4502"/>
    <w:rsid w:val="004D0AFB"/>
    <w:rsid w:val="004D3644"/>
    <w:rsid w:val="004D3A65"/>
    <w:rsid w:val="004D58C7"/>
    <w:rsid w:val="004D6A09"/>
    <w:rsid w:val="004E1F7B"/>
    <w:rsid w:val="004E72D8"/>
    <w:rsid w:val="004F3CDA"/>
    <w:rsid w:val="004F5100"/>
    <w:rsid w:val="004F60D6"/>
    <w:rsid w:val="004F634C"/>
    <w:rsid w:val="004F63FD"/>
    <w:rsid w:val="00503E28"/>
    <w:rsid w:val="00505795"/>
    <w:rsid w:val="005063C9"/>
    <w:rsid w:val="005117A9"/>
    <w:rsid w:val="005130F4"/>
    <w:rsid w:val="005263A5"/>
    <w:rsid w:val="005403EE"/>
    <w:rsid w:val="005425F0"/>
    <w:rsid w:val="0054432B"/>
    <w:rsid w:val="00545442"/>
    <w:rsid w:val="005601E7"/>
    <w:rsid w:val="00560272"/>
    <w:rsid w:val="005606CB"/>
    <w:rsid w:val="0056175B"/>
    <w:rsid w:val="005656A1"/>
    <w:rsid w:val="00567E82"/>
    <w:rsid w:val="005769FD"/>
    <w:rsid w:val="005769FF"/>
    <w:rsid w:val="00576F2E"/>
    <w:rsid w:val="0058112E"/>
    <w:rsid w:val="0058499A"/>
    <w:rsid w:val="005851FE"/>
    <w:rsid w:val="005902E5"/>
    <w:rsid w:val="00593D4D"/>
    <w:rsid w:val="005953DF"/>
    <w:rsid w:val="005A1B28"/>
    <w:rsid w:val="005A21B2"/>
    <w:rsid w:val="005A51D5"/>
    <w:rsid w:val="005B0F02"/>
    <w:rsid w:val="005C38C3"/>
    <w:rsid w:val="005D1239"/>
    <w:rsid w:val="005D1D51"/>
    <w:rsid w:val="005D21CD"/>
    <w:rsid w:val="005D2DD3"/>
    <w:rsid w:val="005D43D4"/>
    <w:rsid w:val="005D615C"/>
    <w:rsid w:val="005D7B48"/>
    <w:rsid w:val="005E014D"/>
    <w:rsid w:val="005E4C94"/>
    <w:rsid w:val="005E4E7C"/>
    <w:rsid w:val="005E58E1"/>
    <w:rsid w:val="005E5D0C"/>
    <w:rsid w:val="005E7BA1"/>
    <w:rsid w:val="005F1073"/>
    <w:rsid w:val="005F1718"/>
    <w:rsid w:val="005F6BB2"/>
    <w:rsid w:val="00601CD9"/>
    <w:rsid w:val="006032C4"/>
    <w:rsid w:val="006129B0"/>
    <w:rsid w:val="00616781"/>
    <w:rsid w:val="00617ECA"/>
    <w:rsid w:val="006229B6"/>
    <w:rsid w:val="00627697"/>
    <w:rsid w:val="00633350"/>
    <w:rsid w:val="00633FF6"/>
    <w:rsid w:val="00635A6B"/>
    <w:rsid w:val="00635D04"/>
    <w:rsid w:val="00637A9D"/>
    <w:rsid w:val="0064240D"/>
    <w:rsid w:val="00642C24"/>
    <w:rsid w:val="00644659"/>
    <w:rsid w:val="00646889"/>
    <w:rsid w:val="00651466"/>
    <w:rsid w:val="00651BAE"/>
    <w:rsid w:val="00654344"/>
    <w:rsid w:val="006572C6"/>
    <w:rsid w:val="0066102E"/>
    <w:rsid w:val="006647FC"/>
    <w:rsid w:val="0066510D"/>
    <w:rsid w:val="0067621A"/>
    <w:rsid w:val="0068150B"/>
    <w:rsid w:val="00681B9E"/>
    <w:rsid w:val="0068536F"/>
    <w:rsid w:val="00687E3F"/>
    <w:rsid w:val="006920D9"/>
    <w:rsid w:val="006929B2"/>
    <w:rsid w:val="00694686"/>
    <w:rsid w:val="0069509E"/>
    <w:rsid w:val="006976D3"/>
    <w:rsid w:val="006A23AF"/>
    <w:rsid w:val="006A60A1"/>
    <w:rsid w:val="006B02CA"/>
    <w:rsid w:val="006B46C3"/>
    <w:rsid w:val="006C1317"/>
    <w:rsid w:val="006C27CD"/>
    <w:rsid w:val="006C32BA"/>
    <w:rsid w:val="006D5D9B"/>
    <w:rsid w:val="006D63D0"/>
    <w:rsid w:val="006D6C3E"/>
    <w:rsid w:val="006D7392"/>
    <w:rsid w:val="006E00EF"/>
    <w:rsid w:val="006E1DD8"/>
    <w:rsid w:val="006E66DA"/>
    <w:rsid w:val="006F04D1"/>
    <w:rsid w:val="006F3516"/>
    <w:rsid w:val="00704FCA"/>
    <w:rsid w:val="00705716"/>
    <w:rsid w:val="00706B54"/>
    <w:rsid w:val="007104ED"/>
    <w:rsid w:val="00715BB4"/>
    <w:rsid w:val="00716446"/>
    <w:rsid w:val="00716EDE"/>
    <w:rsid w:val="0072127F"/>
    <w:rsid w:val="00722D8D"/>
    <w:rsid w:val="00724744"/>
    <w:rsid w:val="00724814"/>
    <w:rsid w:val="00727320"/>
    <w:rsid w:val="00727EE5"/>
    <w:rsid w:val="007308DB"/>
    <w:rsid w:val="007321D3"/>
    <w:rsid w:val="00732528"/>
    <w:rsid w:val="007327A5"/>
    <w:rsid w:val="00732BE8"/>
    <w:rsid w:val="00735272"/>
    <w:rsid w:val="00741F06"/>
    <w:rsid w:val="00744AB2"/>
    <w:rsid w:val="00747171"/>
    <w:rsid w:val="00747212"/>
    <w:rsid w:val="00761CCA"/>
    <w:rsid w:val="00764ADB"/>
    <w:rsid w:val="00767855"/>
    <w:rsid w:val="0077179D"/>
    <w:rsid w:val="0077239E"/>
    <w:rsid w:val="007908B3"/>
    <w:rsid w:val="0079227E"/>
    <w:rsid w:val="007927C3"/>
    <w:rsid w:val="007943EB"/>
    <w:rsid w:val="00795E97"/>
    <w:rsid w:val="0079633B"/>
    <w:rsid w:val="007A0E65"/>
    <w:rsid w:val="007A6401"/>
    <w:rsid w:val="007B063F"/>
    <w:rsid w:val="007B26D2"/>
    <w:rsid w:val="007B7221"/>
    <w:rsid w:val="007C0D59"/>
    <w:rsid w:val="007C6248"/>
    <w:rsid w:val="007D0034"/>
    <w:rsid w:val="007D0303"/>
    <w:rsid w:val="007D3915"/>
    <w:rsid w:val="007D5CAA"/>
    <w:rsid w:val="007F5BCE"/>
    <w:rsid w:val="007F5D59"/>
    <w:rsid w:val="00800218"/>
    <w:rsid w:val="00800E72"/>
    <w:rsid w:val="00804A04"/>
    <w:rsid w:val="00806866"/>
    <w:rsid w:val="008078AE"/>
    <w:rsid w:val="00810B58"/>
    <w:rsid w:val="00811FAC"/>
    <w:rsid w:val="0081630A"/>
    <w:rsid w:val="00822498"/>
    <w:rsid w:val="00822CD9"/>
    <w:rsid w:val="00824C9A"/>
    <w:rsid w:val="00825E7C"/>
    <w:rsid w:val="00826AAA"/>
    <w:rsid w:val="00831A67"/>
    <w:rsid w:val="00833906"/>
    <w:rsid w:val="00842EDD"/>
    <w:rsid w:val="00845885"/>
    <w:rsid w:val="0084754D"/>
    <w:rsid w:val="00853570"/>
    <w:rsid w:val="00863819"/>
    <w:rsid w:val="00865D5E"/>
    <w:rsid w:val="008768DD"/>
    <w:rsid w:val="00877C56"/>
    <w:rsid w:val="00877E63"/>
    <w:rsid w:val="00880FC3"/>
    <w:rsid w:val="00881B99"/>
    <w:rsid w:val="008913AF"/>
    <w:rsid w:val="0089410D"/>
    <w:rsid w:val="008A04A6"/>
    <w:rsid w:val="008A0BB6"/>
    <w:rsid w:val="008A2AEB"/>
    <w:rsid w:val="008A503B"/>
    <w:rsid w:val="008B1BC1"/>
    <w:rsid w:val="008B2A96"/>
    <w:rsid w:val="008B3809"/>
    <w:rsid w:val="008B5363"/>
    <w:rsid w:val="008C093A"/>
    <w:rsid w:val="008C23B2"/>
    <w:rsid w:val="008C45FD"/>
    <w:rsid w:val="008D299E"/>
    <w:rsid w:val="008E1CF9"/>
    <w:rsid w:val="008E1EFB"/>
    <w:rsid w:val="008E450D"/>
    <w:rsid w:val="008E5189"/>
    <w:rsid w:val="008E5680"/>
    <w:rsid w:val="008E592A"/>
    <w:rsid w:val="008E7C75"/>
    <w:rsid w:val="008F2D20"/>
    <w:rsid w:val="00903055"/>
    <w:rsid w:val="009122BD"/>
    <w:rsid w:val="00913D72"/>
    <w:rsid w:val="00914BAF"/>
    <w:rsid w:val="00921AB3"/>
    <w:rsid w:val="00932412"/>
    <w:rsid w:val="00932584"/>
    <w:rsid w:val="009367D2"/>
    <w:rsid w:val="00937247"/>
    <w:rsid w:val="009374D2"/>
    <w:rsid w:val="00943CC2"/>
    <w:rsid w:val="00947907"/>
    <w:rsid w:val="00950D9B"/>
    <w:rsid w:val="00950EE9"/>
    <w:rsid w:val="0095481E"/>
    <w:rsid w:val="00956C58"/>
    <w:rsid w:val="00960947"/>
    <w:rsid w:val="00962030"/>
    <w:rsid w:val="009639F1"/>
    <w:rsid w:val="009736B7"/>
    <w:rsid w:val="009751EB"/>
    <w:rsid w:val="009872E2"/>
    <w:rsid w:val="009913BC"/>
    <w:rsid w:val="009A293E"/>
    <w:rsid w:val="009A2AB9"/>
    <w:rsid w:val="009B4235"/>
    <w:rsid w:val="009B5E23"/>
    <w:rsid w:val="009C3F80"/>
    <w:rsid w:val="009D1800"/>
    <w:rsid w:val="009D670C"/>
    <w:rsid w:val="009E2893"/>
    <w:rsid w:val="009E385F"/>
    <w:rsid w:val="009E5AA2"/>
    <w:rsid w:val="009F255F"/>
    <w:rsid w:val="009F5550"/>
    <w:rsid w:val="009F6E0E"/>
    <w:rsid w:val="009F6F79"/>
    <w:rsid w:val="00A01205"/>
    <w:rsid w:val="00A165D3"/>
    <w:rsid w:val="00A20098"/>
    <w:rsid w:val="00A2165A"/>
    <w:rsid w:val="00A22943"/>
    <w:rsid w:val="00A230D1"/>
    <w:rsid w:val="00A37AE5"/>
    <w:rsid w:val="00A42FA2"/>
    <w:rsid w:val="00A44E7B"/>
    <w:rsid w:val="00A455AD"/>
    <w:rsid w:val="00A544A8"/>
    <w:rsid w:val="00A61F67"/>
    <w:rsid w:val="00A7654F"/>
    <w:rsid w:val="00A83FBA"/>
    <w:rsid w:val="00A92736"/>
    <w:rsid w:val="00A97C4C"/>
    <w:rsid w:val="00AA09B0"/>
    <w:rsid w:val="00AB77DF"/>
    <w:rsid w:val="00AC079C"/>
    <w:rsid w:val="00AC2ED0"/>
    <w:rsid w:val="00AC32ED"/>
    <w:rsid w:val="00AC4CF9"/>
    <w:rsid w:val="00AC5A9C"/>
    <w:rsid w:val="00AD1FE4"/>
    <w:rsid w:val="00AD3655"/>
    <w:rsid w:val="00AD3A7D"/>
    <w:rsid w:val="00AD4E67"/>
    <w:rsid w:val="00AE04B2"/>
    <w:rsid w:val="00AE395E"/>
    <w:rsid w:val="00AE628B"/>
    <w:rsid w:val="00AF1BC0"/>
    <w:rsid w:val="00AF1E35"/>
    <w:rsid w:val="00AF2D3E"/>
    <w:rsid w:val="00B00BEE"/>
    <w:rsid w:val="00B0381C"/>
    <w:rsid w:val="00B06C71"/>
    <w:rsid w:val="00B1404A"/>
    <w:rsid w:val="00B15332"/>
    <w:rsid w:val="00B17FEB"/>
    <w:rsid w:val="00B2223A"/>
    <w:rsid w:val="00B2340F"/>
    <w:rsid w:val="00B239E3"/>
    <w:rsid w:val="00B26D9A"/>
    <w:rsid w:val="00B337DB"/>
    <w:rsid w:val="00B37781"/>
    <w:rsid w:val="00B4332B"/>
    <w:rsid w:val="00B51530"/>
    <w:rsid w:val="00B53310"/>
    <w:rsid w:val="00B614C0"/>
    <w:rsid w:val="00B642E6"/>
    <w:rsid w:val="00B658E3"/>
    <w:rsid w:val="00B67D62"/>
    <w:rsid w:val="00B70B29"/>
    <w:rsid w:val="00B7214A"/>
    <w:rsid w:val="00B724D2"/>
    <w:rsid w:val="00B72F38"/>
    <w:rsid w:val="00B74F86"/>
    <w:rsid w:val="00B76BD7"/>
    <w:rsid w:val="00B801D3"/>
    <w:rsid w:val="00B82051"/>
    <w:rsid w:val="00B83721"/>
    <w:rsid w:val="00B84C2A"/>
    <w:rsid w:val="00B9147E"/>
    <w:rsid w:val="00B92D0A"/>
    <w:rsid w:val="00B949F9"/>
    <w:rsid w:val="00BA3463"/>
    <w:rsid w:val="00BB04AD"/>
    <w:rsid w:val="00BB4195"/>
    <w:rsid w:val="00BB4F4D"/>
    <w:rsid w:val="00BB5A08"/>
    <w:rsid w:val="00BB7FE6"/>
    <w:rsid w:val="00BC3E56"/>
    <w:rsid w:val="00BC6158"/>
    <w:rsid w:val="00BD2A3B"/>
    <w:rsid w:val="00BD2EE2"/>
    <w:rsid w:val="00BD5A29"/>
    <w:rsid w:val="00BD790C"/>
    <w:rsid w:val="00BE5651"/>
    <w:rsid w:val="00BE62D1"/>
    <w:rsid w:val="00BF06B7"/>
    <w:rsid w:val="00BF4CCC"/>
    <w:rsid w:val="00C004CD"/>
    <w:rsid w:val="00C02D29"/>
    <w:rsid w:val="00C20290"/>
    <w:rsid w:val="00C218D5"/>
    <w:rsid w:val="00C22021"/>
    <w:rsid w:val="00C23463"/>
    <w:rsid w:val="00C24C09"/>
    <w:rsid w:val="00C24DC4"/>
    <w:rsid w:val="00C3353B"/>
    <w:rsid w:val="00C40B26"/>
    <w:rsid w:val="00C45513"/>
    <w:rsid w:val="00C457AF"/>
    <w:rsid w:val="00C45FE7"/>
    <w:rsid w:val="00C47A0E"/>
    <w:rsid w:val="00C6493D"/>
    <w:rsid w:val="00C65E33"/>
    <w:rsid w:val="00C724B0"/>
    <w:rsid w:val="00C73FEE"/>
    <w:rsid w:val="00C74A52"/>
    <w:rsid w:val="00C7504F"/>
    <w:rsid w:val="00C86688"/>
    <w:rsid w:val="00C92A6D"/>
    <w:rsid w:val="00C955A3"/>
    <w:rsid w:val="00C96589"/>
    <w:rsid w:val="00CA201E"/>
    <w:rsid w:val="00CA3097"/>
    <w:rsid w:val="00CA33BA"/>
    <w:rsid w:val="00CA3ED2"/>
    <w:rsid w:val="00CA6F4A"/>
    <w:rsid w:val="00CA7371"/>
    <w:rsid w:val="00CB0588"/>
    <w:rsid w:val="00CC2BDD"/>
    <w:rsid w:val="00CC508C"/>
    <w:rsid w:val="00CC708E"/>
    <w:rsid w:val="00CE0B16"/>
    <w:rsid w:val="00CE5CE8"/>
    <w:rsid w:val="00D014B9"/>
    <w:rsid w:val="00D1087E"/>
    <w:rsid w:val="00D11BB1"/>
    <w:rsid w:val="00D159D7"/>
    <w:rsid w:val="00D2164F"/>
    <w:rsid w:val="00D2228B"/>
    <w:rsid w:val="00D232E6"/>
    <w:rsid w:val="00D23415"/>
    <w:rsid w:val="00D23C7C"/>
    <w:rsid w:val="00D241DB"/>
    <w:rsid w:val="00D25A87"/>
    <w:rsid w:val="00D32655"/>
    <w:rsid w:val="00D33303"/>
    <w:rsid w:val="00D348F6"/>
    <w:rsid w:val="00D37F39"/>
    <w:rsid w:val="00D4229A"/>
    <w:rsid w:val="00D427F4"/>
    <w:rsid w:val="00D441E8"/>
    <w:rsid w:val="00D4446E"/>
    <w:rsid w:val="00D446FB"/>
    <w:rsid w:val="00D47783"/>
    <w:rsid w:val="00D52978"/>
    <w:rsid w:val="00D5309B"/>
    <w:rsid w:val="00D60EA0"/>
    <w:rsid w:val="00D62984"/>
    <w:rsid w:val="00D6420E"/>
    <w:rsid w:val="00D71FC1"/>
    <w:rsid w:val="00D727C9"/>
    <w:rsid w:val="00D760DB"/>
    <w:rsid w:val="00D76AA8"/>
    <w:rsid w:val="00D80931"/>
    <w:rsid w:val="00D80BBF"/>
    <w:rsid w:val="00D83967"/>
    <w:rsid w:val="00D84E3D"/>
    <w:rsid w:val="00D86E7A"/>
    <w:rsid w:val="00D909BB"/>
    <w:rsid w:val="00D94212"/>
    <w:rsid w:val="00DA5CBF"/>
    <w:rsid w:val="00DC39D0"/>
    <w:rsid w:val="00DC6251"/>
    <w:rsid w:val="00DD2A38"/>
    <w:rsid w:val="00DD528C"/>
    <w:rsid w:val="00DE6D87"/>
    <w:rsid w:val="00DF012E"/>
    <w:rsid w:val="00DF21CC"/>
    <w:rsid w:val="00DF3F9C"/>
    <w:rsid w:val="00E0226E"/>
    <w:rsid w:val="00E10946"/>
    <w:rsid w:val="00E1120F"/>
    <w:rsid w:val="00E12547"/>
    <w:rsid w:val="00E15BB3"/>
    <w:rsid w:val="00E229A0"/>
    <w:rsid w:val="00E25B81"/>
    <w:rsid w:val="00E268C0"/>
    <w:rsid w:val="00E30E46"/>
    <w:rsid w:val="00E36DC0"/>
    <w:rsid w:val="00E41B5D"/>
    <w:rsid w:val="00E46B4F"/>
    <w:rsid w:val="00E46BC2"/>
    <w:rsid w:val="00E50979"/>
    <w:rsid w:val="00E52A88"/>
    <w:rsid w:val="00E52F13"/>
    <w:rsid w:val="00E55EEA"/>
    <w:rsid w:val="00E61E3B"/>
    <w:rsid w:val="00E6316B"/>
    <w:rsid w:val="00E70C92"/>
    <w:rsid w:val="00E73C1C"/>
    <w:rsid w:val="00E85F70"/>
    <w:rsid w:val="00EA2386"/>
    <w:rsid w:val="00EA55C5"/>
    <w:rsid w:val="00EA5B2B"/>
    <w:rsid w:val="00EA7362"/>
    <w:rsid w:val="00EB1CA6"/>
    <w:rsid w:val="00EB472A"/>
    <w:rsid w:val="00EB675E"/>
    <w:rsid w:val="00EB79DA"/>
    <w:rsid w:val="00EC077B"/>
    <w:rsid w:val="00EC3C06"/>
    <w:rsid w:val="00ED48B7"/>
    <w:rsid w:val="00ED4B12"/>
    <w:rsid w:val="00ED58E8"/>
    <w:rsid w:val="00EE47D4"/>
    <w:rsid w:val="00EE554C"/>
    <w:rsid w:val="00EE7A32"/>
    <w:rsid w:val="00F00A98"/>
    <w:rsid w:val="00F011CB"/>
    <w:rsid w:val="00F045BC"/>
    <w:rsid w:val="00F04A11"/>
    <w:rsid w:val="00F07A53"/>
    <w:rsid w:val="00F1232C"/>
    <w:rsid w:val="00F129A1"/>
    <w:rsid w:val="00F1663F"/>
    <w:rsid w:val="00F17D99"/>
    <w:rsid w:val="00F207E8"/>
    <w:rsid w:val="00F24C96"/>
    <w:rsid w:val="00F30C10"/>
    <w:rsid w:val="00F31290"/>
    <w:rsid w:val="00F31F8D"/>
    <w:rsid w:val="00F3583A"/>
    <w:rsid w:val="00F36B43"/>
    <w:rsid w:val="00F37F2F"/>
    <w:rsid w:val="00F466F1"/>
    <w:rsid w:val="00F542AD"/>
    <w:rsid w:val="00F56FDD"/>
    <w:rsid w:val="00F64F6E"/>
    <w:rsid w:val="00F65229"/>
    <w:rsid w:val="00F722A0"/>
    <w:rsid w:val="00F737FF"/>
    <w:rsid w:val="00F75C96"/>
    <w:rsid w:val="00F75EAB"/>
    <w:rsid w:val="00F80291"/>
    <w:rsid w:val="00F80622"/>
    <w:rsid w:val="00F832AA"/>
    <w:rsid w:val="00F90476"/>
    <w:rsid w:val="00F91E31"/>
    <w:rsid w:val="00F94958"/>
    <w:rsid w:val="00F94964"/>
    <w:rsid w:val="00F94CB5"/>
    <w:rsid w:val="00F97D94"/>
    <w:rsid w:val="00FA5ACA"/>
    <w:rsid w:val="00FA64DD"/>
    <w:rsid w:val="00FB1B45"/>
    <w:rsid w:val="00FB44C1"/>
    <w:rsid w:val="00FC44F4"/>
    <w:rsid w:val="00FC6DC1"/>
    <w:rsid w:val="00FD7E05"/>
    <w:rsid w:val="00FE13C6"/>
    <w:rsid w:val="00FE329A"/>
    <w:rsid w:val="00FF2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E62DE"/>
  <w15:chartTrackingRefBased/>
  <w15:docId w15:val="{8391B29B-43AC-40DB-8AC7-EFE780A70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3A5"/>
    <w:pPr>
      <w:spacing w:after="200" w:line="276" w:lineRule="auto"/>
      <w:jc w:val="both"/>
    </w:pPr>
    <w:rPr>
      <w:sz w:val="22"/>
      <w:szCs w:val="22"/>
      <w:lang w:bidi="en-US"/>
    </w:rPr>
  </w:style>
  <w:style w:type="paragraph" w:styleId="Heading1">
    <w:name w:val="heading 1"/>
    <w:basedOn w:val="Normal"/>
    <w:next w:val="Normal"/>
    <w:link w:val="Heading1Char"/>
    <w:autoRedefine/>
    <w:uiPriority w:val="9"/>
    <w:qFormat/>
    <w:rsid w:val="005E4C94"/>
    <w:pPr>
      <w:spacing w:before="480" w:after="0"/>
      <w:contextualSpacing/>
      <w:jc w:val="center"/>
      <w:outlineLvl w:val="0"/>
    </w:pPr>
    <w:rPr>
      <w:b/>
      <w:szCs w:val="20"/>
      <w:lang w:bidi="ar-SA"/>
    </w:rPr>
  </w:style>
  <w:style w:type="paragraph" w:styleId="Heading2">
    <w:name w:val="heading 2"/>
    <w:basedOn w:val="Normal"/>
    <w:next w:val="Normal"/>
    <w:link w:val="Heading2Char"/>
    <w:autoRedefine/>
    <w:uiPriority w:val="9"/>
    <w:unhideWhenUsed/>
    <w:qFormat/>
    <w:rsid w:val="00B2223A"/>
    <w:pPr>
      <w:spacing w:after="0" w:line="240" w:lineRule="auto"/>
      <w:jc w:val="center"/>
      <w:outlineLvl w:val="1"/>
    </w:pPr>
    <w:rPr>
      <w:b/>
      <w:bCs/>
      <w:szCs w:val="20"/>
      <w:lang w:bidi="ar-SA"/>
    </w:rPr>
  </w:style>
  <w:style w:type="paragraph" w:styleId="Heading3">
    <w:name w:val="heading 3"/>
    <w:basedOn w:val="Normal"/>
    <w:next w:val="Normal"/>
    <w:link w:val="Heading3Char"/>
    <w:uiPriority w:val="9"/>
    <w:unhideWhenUsed/>
    <w:qFormat/>
    <w:rsid w:val="005E4C94"/>
    <w:pPr>
      <w:spacing w:before="200" w:after="0" w:line="271" w:lineRule="auto"/>
      <w:jc w:val="center"/>
      <w:outlineLvl w:val="2"/>
    </w:pPr>
    <w:rPr>
      <w:b/>
      <w:bCs/>
    </w:rPr>
  </w:style>
  <w:style w:type="paragraph" w:styleId="Heading4">
    <w:name w:val="heading 4"/>
    <w:basedOn w:val="Normal"/>
    <w:next w:val="Normal"/>
    <w:link w:val="Heading4Char"/>
    <w:uiPriority w:val="9"/>
    <w:unhideWhenUsed/>
    <w:qFormat/>
    <w:rsid w:val="001577F6"/>
    <w:pPr>
      <w:spacing w:before="200" w:after="0"/>
      <w:jc w:val="center"/>
      <w:outlineLvl w:val="3"/>
    </w:pPr>
    <w:rPr>
      <w:b/>
      <w:bCs/>
      <w:iCs/>
    </w:rPr>
  </w:style>
  <w:style w:type="paragraph" w:styleId="Heading5">
    <w:name w:val="heading 5"/>
    <w:basedOn w:val="Normal"/>
    <w:next w:val="Normal"/>
    <w:link w:val="Heading5Char"/>
    <w:uiPriority w:val="9"/>
    <w:semiHidden/>
    <w:unhideWhenUsed/>
    <w:qFormat/>
    <w:rsid w:val="00800E72"/>
    <w:pPr>
      <w:spacing w:before="200" w:after="0"/>
      <w:outlineLvl w:val="4"/>
    </w:pPr>
    <w:rPr>
      <w:rFonts w:ascii="Arial" w:hAnsi="Arial"/>
      <w:b/>
      <w:bCs/>
      <w:color w:val="7F7F7F"/>
    </w:rPr>
  </w:style>
  <w:style w:type="paragraph" w:styleId="Heading6">
    <w:name w:val="heading 6"/>
    <w:basedOn w:val="Normal"/>
    <w:next w:val="Normal"/>
    <w:link w:val="Heading6Char"/>
    <w:uiPriority w:val="9"/>
    <w:semiHidden/>
    <w:unhideWhenUsed/>
    <w:qFormat/>
    <w:rsid w:val="00800E72"/>
    <w:pPr>
      <w:spacing w:after="0" w:line="271" w:lineRule="auto"/>
      <w:outlineLvl w:val="5"/>
    </w:pPr>
    <w:rPr>
      <w:rFonts w:ascii="Arial" w:hAnsi="Arial"/>
      <w:b/>
      <w:bCs/>
      <w:i/>
      <w:iCs/>
      <w:color w:val="7F7F7F"/>
    </w:rPr>
  </w:style>
  <w:style w:type="paragraph" w:styleId="Heading7">
    <w:name w:val="heading 7"/>
    <w:basedOn w:val="Normal"/>
    <w:next w:val="Normal"/>
    <w:link w:val="Heading7Char"/>
    <w:uiPriority w:val="9"/>
    <w:semiHidden/>
    <w:unhideWhenUsed/>
    <w:qFormat/>
    <w:rsid w:val="00800E72"/>
    <w:pPr>
      <w:spacing w:after="0"/>
      <w:outlineLvl w:val="6"/>
    </w:pPr>
    <w:rPr>
      <w:rFonts w:ascii="Arial" w:hAnsi="Arial"/>
      <w:i/>
      <w:iCs/>
    </w:rPr>
  </w:style>
  <w:style w:type="paragraph" w:styleId="Heading8">
    <w:name w:val="heading 8"/>
    <w:basedOn w:val="Normal"/>
    <w:next w:val="Normal"/>
    <w:link w:val="Heading8Char"/>
    <w:uiPriority w:val="9"/>
    <w:semiHidden/>
    <w:unhideWhenUsed/>
    <w:qFormat/>
    <w:rsid w:val="00800E72"/>
    <w:pPr>
      <w:spacing w:after="0"/>
      <w:outlineLvl w:val="7"/>
    </w:pPr>
    <w:rPr>
      <w:rFonts w:ascii="Arial" w:hAnsi="Arial"/>
      <w:szCs w:val="20"/>
    </w:rPr>
  </w:style>
  <w:style w:type="paragraph" w:styleId="Heading9">
    <w:name w:val="heading 9"/>
    <w:basedOn w:val="Normal"/>
    <w:next w:val="Normal"/>
    <w:link w:val="Heading9Char"/>
    <w:uiPriority w:val="9"/>
    <w:semiHidden/>
    <w:unhideWhenUsed/>
    <w:qFormat/>
    <w:rsid w:val="00800E72"/>
    <w:pPr>
      <w:spacing w:after="0"/>
      <w:outlineLvl w:val="8"/>
    </w:pPr>
    <w:rPr>
      <w:rFonts w:ascii="Arial" w:hAnsi="Arial"/>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C94"/>
    <w:rPr>
      <w:b/>
    </w:rPr>
  </w:style>
  <w:style w:type="character" w:customStyle="1" w:styleId="Heading2Char">
    <w:name w:val="Heading 2 Char"/>
    <w:basedOn w:val="DefaultParagraphFont"/>
    <w:link w:val="Heading2"/>
    <w:uiPriority w:val="9"/>
    <w:rsid w:val="00B2223A"/>
    <w:rPr>
      <w:b/>
      <w:bCs/>
    </w:rPr>
  </w:style>
  <w:style w:type="character" w:customStyle="1" w:styleId="Heading3Char">
    <w:name w:val="Heading 3 Char"/>
    <w:basedOn w:val="DefaultParagraphFont"/>
    <w:link w:val="Heading3"/>
    <w:uiPriority w:val="9"/>
    <w:rsid w:val="005E4C94"/>
    <w:rPr>
      <w:b/>
      <w:bCs/>
      <w:szCs w:val="22"/>
      <w:lang w:bidi="en-US"/>
    </w:rPr>
  </w:style>
  <w:style w:type="character" w:customStyle="1" w:styleId="Heading4Char">
    <w:name w:val="Heading 4 Char"/>
    <w:basedOn w:val="DefaultParagraphFont"/>
    <w:link w:val="Heading4"/>
    <w:uiPriority w:val="9"/>
    <w:rsid w:val="001577F6"/>
    <w:rPr>
      <w:b/>
      <w:bCs/>
      <w:iCs/>
      <w:sz w:val="22"/>
      <w:szCs w:val="22"/>
      <w:lang w:bidi="en-US"/>
    </w:rPr>
  </w:style>
  <w:style w:type="character" w:customStyle="1" w:styleId="Heading5Char">
    <w:name w:val="Heading 5 Char"/>
    <w:basedOn w:val="DefaultParagraphFont"/>
    <w:link w:val="Heading5"/>
    <w:uiPriority w:val="9"/>
    <w:semiHidden/>
    <w:rsid w:val="00800E72"/>
    <w:rPr>
      <w:rFonts w:ascii="Arial" w:eastAsia="Times New Roman" w:hAnsi="Arial" w:cs="Times New Roman"/>
      <w:b/>
      <w:bCs/>
      <w:color w:val="7F7F7F"/>
    </w:rPr>
  </w:style>
  <w:style w:type="character" w:customStyle="1" w:styleId="Heading6Char">
    <w:name w:val="Heading 6 Char"/>
    <w:basedOn w:val="DefaultParagraphFont"/>
    <w:link w:val="Heading6"/>
    <w:uiPriority w:val="9"/>
    <w:semiHidden/>
    <w:rsid w:val="00800E72"/>
    <w:rPr>
      <w:rFonts w:ascii="Arial" w:eastAsia="Times New Roman" w:hAnsi="Arial" w:cs="Times New Roman"/>
      <w:b/>
      <w:bCs/>
      <w:i/>
      <w:iCs/>
      <w:color w:val="7F7F7F"/>
    </w:rPr>
  </w:style>
  <w:style w:type="character" w:customStyle="1" w:styleId="Heading7Char">
    <w:name w:val="Heading 7 Char"/>
    <w:basedOn w:val="DefaultParagraphFont"/>
    <w:link w:val="Heading7"/>
    <w:uiPriority w:val="9"/>
    <w:semiHidden/>
    <w:rsid w:val="00800E72"/>
    <w:rPr>
      <w:rFonts w:ascii="Arial" w:eastAsia="Times New Roman" w:hAnsi="Arial" w:cs="Times New Roman"/>
      <w:i/>
      <w:iCs/>
    </w:rPr>
  </w:style>
  <w:style w:type="character" w:customStyle="1" w:styleId="Heading8Char">
    <w:name w:val="Heading 8 Char"/>
    <w:basedOn w:val="DefaultParagraphFont"/>
    <w:link w:val="Heading8"/>
    <w:uiPriority w:val="9"/>
    <w:semiHidden/>
    <w:rsid w:val="00800E72"/>
    <w:rPr>
      <w:rFonts w:ascii="Arial" w:eastAsia="Times New Roman" w:hAnsi="Arial" w:cs="Times New Roman"/>
      <w:sz w:val="20"/>
      <w:szCs w:val="20"/>
    </w:rPr>
  </w:style>
  <w:style w:type="character" w:customStyle="1" w:styleId="Heading9Char">
    <w:name w:val="Heading 9 Char"/>
    <w:basedOn w:val="DefaultParagraphFont"/>
    <w:link w:val="Heading9"/>
    <w:uiPriority w:val="9"/>
    <w:semiHidden/>
    <w:rsid w:val="00800E72"/>
    <w:rPr>
      <w:rFonts w:ascii="Arial" w:eastAsia="Times New Roman" w:hAnsi="Arial" w:cs="Times New Roman"/>
      <w:i/>
      <w:iCs/>
      <w:spacing w:val="5"/>
      <w:sz w:val="20"/>
      <w:szCs w:val="20"/>
    </w:rPr>
  </w:style>
  <w:style w:type="paragraph" w:styleId="Header">
    <w:name w:val="header"/>
    <w:basedOn w:val="Normal"/>
    <w:link w:val="HeaderChar"/>
    <w:unhideWhenUsed/>
    <w:rsid w:val="00800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E72"/>
  </w:style>
  <w:style w:type="paragraph" w:styleId="Footer">
    <w:name w:val="footer"/>
    <w:basedOn w:val="Normal"/>
    <w:link w:val="FooterChar"/>
    <w:unhideWhenUsed/>
    <w:rsid w:val="00800E72"/>
    <w:pPr>
      <w:tabs>
        <w:tab w:val="center" w:pos="4680"/>
        <w:tab w:val="right" w:pos="9360"/>
      </w:tabs>
      <w:spacing w:after="0" w:line="240" w:lineRule="auto"/>
    </w:pPr>
  </w:style>
  <w:style w:type="character" w:customStyle="1" w:styleId="FooterChar">
    <w:name w:val="Footer Char"/>
    <w:basedOn w:val="DefaultParagraphFont"/>
    <w:link w:val="Footer"/>
    <w:rsid w:val="00800E72"/>
  </w:style>
  <w:style w:type="paragraph" w:styleId="BalloonText">
    <w:name w:val="Balloon Text"/>
    <w:basedOn w:val="Normal"/>
    <w:link w:val="BalloonTextChar"/>
    <w:uiPriority w:val="99"/>
    <w:semiHidden/>
    <w:unhideWhenUsed/>
    <w:rsid w:val="00800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E72"/>
    <w:rPr>
      <w:rFonts w:ascii="Tahoma" w:hAnsi="Tahoma" w:cs="Tahoma"/>
      <w:sz w:val="16"/>
      <w:szCs w:val="16"/>
    </w:rPr>
  </w:style>
  <w:style w:type="paragraph" w:styleId="Title">
    <w:name w:val="Title"/>
    <w:basedOn w:val="Normal"/>
    <w:next w:val="Normal"/>
    <w:link w:val="TitleChar"/>
    <w:qFormat/>
    <w:rsid w:val="00800E72"/>
    <w:pPr>
      <w:pBdr>
        <w:bottom w:val="single" w:sz="4" w:space="1" w:color="auto"/>
      </w:pBdr>
      <w:spacing w:line="240" w:lineRule="auto"/>
      <w:contextualSpacing/>
    </w:pPr>
    <w:rPr>
      <w:rFonts w:ascii="Arial" w:hAnsi="Arial"/>
      <w:spacing w:val="5"/>
      <w:sz w:val="52"/>
      <w:szCs w:val="52"/>
    </w:rPr>
  </w:style>
  <w:style w:type="character" w:customStyle="1" w:styleId="TitleChar">
    <w:name w:val="Title Char"/>
    <w:basedOn w:val="DefaultParagraphFont"/>
    <w:link w:val="Title"/>
    <w:uiPriority w:val="10"/>
    <w:rsid w:val="00800E72"/>
    <w:rPr>
      <w:rFonts w:ascii="Arial" w:eastAsia="Times New Roman" w:hAnsi="Arial" w:cs="Times New Roman"/>
      <w:spacing w:val="5"/>
      <w:sz w:val="52"/>
      <w:szCs w:val="52"/>
    </w:rPr>
  </w:style>
  <w:style w:type="paragraph" w:styleId="Subtitle">
    <w:name w:val="Subtitle"/>
    <w:basedOn w:val="Normal"/>
    <w:next w:val="Normal"/>
    <w:link w:val="SubtitleChar"/>
    <w:uiPriority w:val="11"/>
    <w:qFormat/>
    <w:rsid w:val="00800E72"/>
    <w:pPr>
      <w:spacing w:after="600"/>
    </w:pPr>
    <w:rPr>
      <w:rFonts w:ascii="Arial" w:hAnsi="Arial"/>
      <w:i/>
      <w:iCs/>
      <w:spacing w:val="13"/>
      <w:sz w:val="24"/>
      <w:szCs w:val="24"/>
    </w:rPr>
  </w:style>
  <w:style w:type="character" w:customStyle="1" w:styleId="SubtitleChar">
    <w:name w:val="Subtitle Char"/>
    <w:basedOn w:val="DefaultParagraphFont"/>
    <w:link w:val="Subtitle"/>
    <w:uiPriority w:val="11"/>
    <w:rsid w:val="00800E72"/>
    <w:rPr>
      <w:rFonts w:ascii="Arial" w:eastAsia="Times New Roman" w:hAnsi="Arial" w:cs="Times New Roman"/>
      <w:i/>
      <w:iCs/>
      <w:spacing w:val="13"/>
      <w:sz w:val="24"/>
      <w:szCs w:val="24"/>
    </w:rPr>
  </w:style>
  <w:style w:type="character" w:styleId="Strong">
    <w:name w:val="Strong"/>
    <w:uiPriority w:val="22"/>
    <w:qFormat/>
    <w:rsid w:val="00800E72"/>
    <w:rPr>
      <w:b/>
      <w:bCs/>
    </w:rPr>
  </w:style>
  <w:style w:type="character" w:styleId="Emphasis">
    <w:name w:val="Emphasis"/>
    <w:uiPriority w:val="20"/>
    <w:qFormat/>
    <w:rsid w:val="00800E72"/>
    <w:rPr>
      <w:b/>
      <w:bCs/>
      <w:i/>
      <w:iCs/>
      <w:spacing w:val="10"/>
      <w:bdr w:val="none" w:sz="0" w:space="0" w:color="auto"/>
      <w:shd w:val="clear" w:color="auto" w:fill="auto"/>
    </w:rPr>
  </w:style>
  <w:style w:type="paragraph" w:styleId="NoSpacing">
    <w:name w:val="No Spacing"/>
    <w:basedOn w:val="Normal"/>
    <w:link w:val="NoSpacingChar"/>
    <w:uiPriority w:val="1"/>
    <w:qFormat/>
    <w:rsid w:val="00800E72"/>
    <w:pPr>
      <w:spacing w:after="0" w:line="240" w:lineRule="auto"/>
    </w:pPr>
  </w:style>
  <w:style w:type="character" w:customStyle="1" w:styleId="NoSpacingChar">
    <w:name w:val="No Spacing Char"/>
    <w:basedOn w:val="DefaultParagraphFont"/>
    <w:link w:val="NoSpacing"/>
    <w:uiPriority w:val="1"/>
    <w:rsid w:val="00545442"/>
    <w:rPr>
      <w:sz w:val="20"/>
    </w:rPr>
  </w:style>
  <w:style w:type="paragraph" w:styleId="ListParagraph">
    <w:name w:val="List Paragraph"/>
    <w:basedOn w:val="Normal"/>
    <w:uiPriority w:val="34"/>
    <w:qFormat/>
    <w:rsid w:val="00800E72"/>
    <w:pPr>
      <w:ind w:left="720"/>
      <w:contextualSpacing/>
    </w:pPr>
  </w:style>
  <w:style w:type="paragraph" w:styleId="Quote">
    <w:name w:val="Quote"/>
    <w:basedOn w:val="Normal"/>
    <w:next w:val="Normal"/>
    <w:link w:val="QuoteChar"/>
    <w:uiPriority w:val="29"/>
    <w:qFormat/>
    <w:rsid w:val="00800E72"/>
    <w:pPr>
      <w:spacing w:before="200" w:after="0"/>
      <w:ind w:left="360" w:right="360"/>
    </w:pPr>
    <w:rPr>
      <w:i/>
      <w:iCs/>
    </w:rPr>
  </w:style>
  <w:style w:type="character" w:customStyle="1" w:styleId="QuoteChar">
    <w:name w:val="Quote Char"/>
    <w:basedOn w:val="DefaultParagraphFont"/>
    <w:link w:val="Quote"/>
    <w:uiPriority w:val="29"/>
    <w:rsid w:val="00800E72"/>
    <w:rPr>
      <w:i/>
      <w:iCs/>
    </w:rPr>
  </w:style>
  <w:style w:type="paragraph" w:styleId="IntenseQuote">
    <w:name w:val="Intense Quote"/>
    <w:basedOn w:val="Normal"/>
    <w:next w:val="Normal"/>
    <w:link w:val="IntenseQuoteChar"/>
    <w:uiPriority w:val="30"/>
    <w:qFormat/>
    <w:rsid w:val="00800E72"/>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800E72"/>
    <w:rPr>
      <w:b/>
      <w:bCs/>
      <w:i/>
      <w:iCs/>
    </w:rPr>
  </w:style>
  <w:style w:type="character" w:styleId="SubtleEmphasis">
    <w:name w:val="Subtle Emphasis"/>
    <w:uiPriority w:val="19"/>
    <w:qFormat/>
    <w:rsid w:val="00800E72"/>
    <w:rPr>
      <w:i/>
      <w:iCs/>
    </w:rPr>
  </w:style>
  <w:style w:type="character" w:styleId="IntenseEmphasis">
    <w:name w:val="Intense Emphasis"/>
    <w:uiPriority w:val="21"/>
    <w:qFormat/>
    <w:rsid w:val="00800E72"/>
    <w:rPr>
      <w:b/>
      <w:bCs/>
    </w:rPr>
  </w:style>
  <w:style w:type="character" w:styleId="SubtleReference">
    <w:name w:val="Subtle Reference"/>
    <w:uiPriority w:val="31"/>
    <w:qFormat/>
    <w:rsid w:val="00800E72"/>
    <w:rPr>
      <w:smallCaps/>
    </w:rPr>
  </w:style>
  <w:style w:type="character" w:styleId="IntenseReference">
    <w:name w:val="Intense Reference"/>
    <w:uiPriority w:val="32"/>
    <w:qFormat/>
    <w:rsid w:val="00800E72"/>
    <w:rPr>
      <w:smallCaps/>
      <w:spacing w:val="5"/>
      <w:u w:val="single"/>
    </w:rPr>
  </w:style>
  <w:style w:type="character" w:styleId="BookTitle">
    <w:name w:val="Book Title"/>
    <w:uiPriority w:val="33"/>
    <w:qFormat/>
    <w:rsid w:val="00800E72"/>
    <w:rPr>
      <w:i/>
      <w:iCs/>
      <w:smallCaps/>
      <w:spacing w:val="5"/>
    </w:rPr>
  </w:style>
  <w:style w:type="paragraph" w:styleId="TOCHeading">
    <w:name w:val="TOC Heading"/>
    <w:basedOn w:val="Heading1"/>
    <w:next w:val="Normal"/>
    <w:uiPriority w:val="39"/>
    <w:unhideWhenUsed/>
    <w:qFormat/>
    <w:rsid w:val="00800E72"/>
    <w:pPr>
      <w:outlineLvl w:val="9"/>
    </w:pPr>
  </w:style>
  <w:style w:type="table" w:styleId="TableGrid">
    <w:name w:val="Table Grid"/>
    <w:basedOn w:val="TableNormal"/>
    <w:uiPriority w:val="59"/>
    <w:rsid w:val="00800E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57F6D"/>
    <w:pPr>
      <w:spacing w:before="100" w:beforeAutospacing="1" w:after="100" w:afterAutospacing="1" w:line="240" w:lineRule="auto"/>
    </w:pPr>
    <w:rPr>
      <w:sz w:val="24"/>
      <w:szCs w:val="24"/>
      <w:lang w:bidi="ar-SA"/>
    </w:rPr>
  </w:style>
  <w:style w:type="paragraph" w:styleId="BodyTextIndent">
    <w:name w:val="Body Text Indent"/>
    <w:basedOn w:val="Normal"/>
    <w:link w:val="BodyTextIndentChar"/>
    <w:uiPriority w:val="99"/>
    <w:unhideWhenUsed/>
    <w:rsid w:val="0008245E"/>
    <w:pPr>
      <w:spacing w:before="100" w:beforeAutospacing="1" w:after="100" w:afterAutospacing="1" w:line="240" w:lineRule="auto"/>
    </w:pPr>
    <w:rPr>
      <w:sz w:val="24"/>
      <w:szCs w:val="24"/>
      <w:lang w:bidi="ar-SA"/>
    </w:rPr>
  </w:style>
  <w:style w:type="character" w:customStyle="1" w:styleId="BodyTextIndentChar">
    <w:name w:val="Body Text Indent Char"/>
    <w:basedOn w:val="DefaultParagraphFont"/>
    <w:link w:val="BodyTextIndent"/>
    <w:uiPriority w:val="99"/>
    <w:rsid w:val="0008245E"/>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08245E"/>
    <w:rPr>
      <w:color w:val="0000FF"/>
      <w:u w:val="single"/>
    </w:rPr>
  </w:style>
  <w:style w:type="paragraph" w:styleId="BodyText">
    <w:name w:val="Body Text"/>
    <w:basedOn w:val="Normal"/>
    <w:link w:val="BodyTextChar"/>
    <w:uiPriority w:val="99"/>
    <w:unhideWhenUsed/>
    <w:rsid w:val="00654344"/>
    <w:pPr>
      <w:spacing w:after="120"/>
    </w:pPr>
  </w:style>
  <w:style w:type="character" w:customStyle="1" w:styleId="BodyTextChar">
    <w:name w:val="Body Text Char"/>
    <w:basedOn w:val="DefaultParagraphFont"/>
    <w:link w:val="BodyText"/>
    <w:uiPriority w:val="99"/>
    <w:rsid w:val="00654344"/>
    <w:rPr>
      <w:sz w:val="20"/>
    </w:rPr>
  </w:style>
  <w:style w:type="paragraph" w:styleId="BodyText2">
    <w:name w:val="Body Text 2"/>
    <w:basedOn w:val="Normal"/>
    <w:link w:val="BodyText2Char"/>
    <w:uiPriority w:val="99"/>
    <w:semiHidden/>
    <w:unhideWhenUsed/>
    <w:rsid w:val="00654344"/>
    <w:pPr>
      <w:spacing w:after="120" w:line="480" w:lineRule="auto"/>
    </w:pPr>
  </w:style>
  <w:style w:type="character" w:customStyle="1" w:styleId="BodyText2Char">
    <w:name w:val="Body Text 2 Char"/>
    <w:basedOn w:val="DefaultParagraphFont"/>
    <w:link w:val="BodyText2"/>
    <w:uiPriority w:val="99"/>
    <w:semiHidden/>
    <w:rsid w:val="00654344"/>
    <w:rPr>
      <w:sz w:val="20"/>
    </w:rPr>
  </w:style>
  <w:style w:type="paragraph" w:styleId="BodyText3">
    <w:name w:val="Body Text 3"/>
    <w:basedOn w:val="Normal"/>
    <w:link w:val="BodyText3Char"/>
    <w:uiPriority w:val="99"/>
    <w:unhideWhenUsed/>
    <w:rsid w:val="00654344"/>
    <w:pPr>
      <w:spacing w:after="120"/>
    </w:pPr>
    <w:rPr>
      <w:sz w:val="16"/>
      <w:szCs w:val="16"/>
    </w:rPr>
  </w:style>
  <w:style w:type="character" w:customStyle="1" w:styleId="BodyText3Char">
    <w:name w:val="Body Text 3 Char"/>
    <w:basedOn w:val="DefaultParagraphFont"/>
    <w:link w:val="BodyText3"/>
    <w:uiPriority w:val="99"/>
    <w:rsid w:val="00654344"/>
    <w:rPr>
      <w:sz w:val="16"/>
      <w:szCs w:val="16"/>
    </w:rPr>
  </w:style>
  <w:style w:type="paragraph" w:customStyle="1" w:styleId="style24">
    <w:name w:val="style24"/>
    <w:basedOn w:val="Normal"/>
    <w:rsid w:val="00B06C71"/>
    <w:pPr>
      <w:spacing w:before="100" w:beforeAutospacing="1" w:after="100" w:afterAutospacing="1" w:line="240" w:lineRule="auto"/>
    </w:pPr>
    <w:rPr>
      <w:rFonts w:ascii="Arial" w:hAnsi="Arial" w:cs="Arial"/>
      <w:sz w:val="24"/>
      <w:szCs w:val="24"/>
      <w:lang w:bidi="ar-SA"/>
    </w:rPr>
  </w:style>
  <w:style w:type="character" w:customStyle="1" w:styleId="style241">
    <w:name w:val="style241"/>
    <w:basedOn w:val="DefaultParagraphFont"/>
    <w:rsid w:val="00B06C71"/>
    <w:rPr>
      <w:rFonts w:ascii="Arial" w:hAnsi="Arial" w:cs="Arial" w:hint="default"/>
    </w:rPr>
  </w:style>
  <w:style w:type="paragraph" w:customStyle="1" w:styleId="firstparagraph">
    <w:name w:val="firstparagraph"/>
    <w:basedOn w:val="Normal"/>
    <w:rsid w:val="00767855"/>
    <w:pPr>
      <w:spacing w:before="120" w:after="100" w:afterAutospacing="1" w:line="240" w:lineRule="auto"/>
    </w:pPr>
    <w:rPr>
      <w:sz w:val="24"/>
      <w:szCs w:val="24"/>
      <w:lang w:bidi="ar-SA"/>
    </w:rPr>
  </w:style>
  <w:style w:type="character" w:styleId="FollowedHyperlink">
    <w:name w:val="FollowedHyperlink"/>
    <w:basedOn w:val="DefaultParagraphFont"/>
    <w:uiPriority w:val="99"/>
    <w:semiHidden/>
    <w:unhideWhenUsed/>
    <w:rsid w:val="00A37AE5"/>
    <w:rPr>
      <w:color w:val="919191"/>
      <w:u w:val="single"/>
    </w:rPr>
  </w:style>
  <w:style w:type="paragraph" w:styleId="TOC1">
    <w:name w:val="toc 1"/>
    <w:basedOn w:val="Normal"/>
    <w:next w:val="Normal"/>
    <w:autoRedefine/>
    <w:uiPriority w:val="39"/>
    <w:unhideWhenUsed/>
    <w:rsid w:val="00A165D3"/>
    <w:pPr>
      <w:spacing w:after="100"/>
    </w:pPr>
  </w:style>
  <w:style w:type="paragraph" w:styleId="TOC3">
    <w:name w:val="toc 3"/>
    <w:basedOn w:val="Normal"/>
    <w:next w:val="Normal"/>
    <w:autoRedefine/>
    <w:uiPriority w:val="39"/>
    <w:unhideWhenUsed/>
    <w:rsid w:val="00A165D3"/>
    <w:pPr>
      <w:spacing w:after="100"/>
      <w:ind w:left="400"/>
    </w:pPr>
  </w:style>
  <w:style w:type="paragraph" w:styleId="TOC2">
    <w:name w:val="toc 2"/>
    <w:basedOn w:val="Normal"/>
    <w:next w:val="Normal"/>
    <w:autoRedefine/>
    <w:uiPriority w:val="39"/>
    <w:unhideWhenUsed/>
    <w:rsid w:val="00A165D3"/>
    <w:pPr>
      <w:spacing w:after="100"/>
      <w:ind w:left="200"/>
    </w:pPr>
  </w:style>
  <w:style w:type="paragraph" w:styleId="TOC4">
    <w:name w:val="toc 4"/>
    <w:basedOn w:val="Normal"/>
    <w:next w:val="Normal"/>
    <w:autoRedefine/>
    <w:uiPriority w:val="39"/>
    <w:unhideWhenUsed/>
    <w:rsid w:val="00EA5B2B"/>
    <w:pPr>
      <w:spacing w:after="100"/>
      <w:ind w:left="660"/>
    </w:pPr>
    <w:rPr>
      <w:lang w:bidi="ar-SA"/>
    </w:rPr>
  </w:style>
  <w:style w:type="paragraph" w:styleId="TOC5">
    <w:name w:val="toc 5"/>
    <w:basedOn w:val="Normal"/>
    <w:next w:val="Normal"/>
    <w:autoRedefine/>
    <w:uiPriority w:val="39"/>
    <w:unhideWhenUsed/>
    <w:rsid w:val="00EA5B2B"/>
    <w:pPr>
      <w:spacing w:after="100"/>
      <w:ind w:left="880"/>
    </w:pPr>
    <w:rPr>
      <w:lang w:bidi="ar-SA"/>
    </w:rPr>
  </w:style>
  <w:style w:type="paragraph" w:styleId="TOC6">
    <w:name w:val="toc 6"/>
    <w:basedOn w:val="Normal"/>
    <w:next w:val="Normal"/>
    <w:autoRedefine/>
    <w:uiPriority w:val="39"/>
    <w:unhideWhenUsed/>
    <w:rsid w:val="00EA5B2B"/>
    <w:pPr>
      <w:spacing w:after="100"/>
      <w:ind w:left="1100"/>
    </w:pPr>
    <w:rPr>
      <w:lang w:bidi="ar-SA"/>
    </w:rPr>
  </w:style>
  <w:style w:type="paragraph" w:styleId="TOC7">
    <w:name w:val="toc 7"/>
    <w:basedOn w:val="Normal"/>
    <w:next w:val="Normal"/>
    <w:autoRedefine/>
    <w:uiPriority w:val="39"/>
    <w:unhideWhenUsed/>
    <w:rsid w:val="00EA5B2B"/>
    <w:pPr>
      <w:spacing w:after="100"/>
      <w:ind w:left="1320"/>
    </w:pPr>
    <w:rPr>
      <w:lang w:bidi="ar-SA"/>
    </w:rPr>
  </w:style>
  <w:style w:type="paragraph" w:styleId="TOC8">
    <w:name w:val="toc 8"/>
    <w:basedOn w:val="Normal"/>
    <w:next w:val="Normal"/>
    <w:autoRedefine/>
    <w:uiPriority w:val="39"/>
    <w:unhideWhenUsed/>
    <w:rsid w:val="00EA5B2B"/>
    <w:pPr>
      <w:spacing w:after="100"/>
      <w:ind w:left="1540"/>
    </w:pPr>
    <w:rPr>
      <w:lang w:bidi="ar-SA"/>
    </w:rPr>
  </w:style>
  <w:style w:type="paragraph" w:styleId="TOC9">
    <w:name w:val="toc 9"/>
    <w:basedOn w:val="Normal"/>
    <w:next w:val="Normal"/>
    <w:autoRedefine/>
    <w:uiPriority w:val="39"/>
    <w:unhideWhenUsed/>
    <w:rsid w:val="00EA5B2B"/>
    <w:pPr>
      <w:spacing w:after="100"/>
      <w:ind w:left="1760"/>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89457">
      <w:bodyDiv w:val="1"/>
      <w:marLeft w:val="0"/>
      <w:marRight w:val="0"/>
      <w:marTop w:val="0"/>
      <w:marBottom w:val="0"/>
      <w:divBdr>
        <w:top w:val="none" w:sz="0" w:space="0" w:color="auto"/>
        <w:left w:val="none" w:sz="0" w:space="0" w:color="auto"/>
        <w:bottom w:val="none" w:sz="0" w:space="0" w:color="auto"/>
        <w:right w:val="none" w:sz="0" w:space="0" w:color="auto"/>
      </w:divBdr>
    </w:div>
    <w:div w:id="122845722">
      <w:bodyDiv w:val="1"/>
      <w:marLeft w:val="0"/>
      <w:marRight w:val="0"/>
      <w:marTop w:val="0"/>
      <w:marBottom w:val="0"/>
      <w:divBdr>
        <w:top w:val="none" w:sz="0" w:space="0" w:color="auto"/>
        <w:left w:val="none" w:sz="0" w:space="0" w:color="auto"/>
        <w:bottom w:val="none" w:sz="0" w:space="0" w:color="auto"/>
        <w:right w:val="none" w:sz="0" w:space="0" w:color="auto"/>
      </w:divBdr>
      <w:divsChild>
        <w:div w:id="382290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91864">
      <w:bodyDiv w:val="1"/>
      <w:marLeft w:val="0"/>
      <w:marRight w:val="0"/>
      <w:marTop w:val="0"/>
      <w:marBottom w:val="0"/>
      <w:divBdr>
        <w:top w:val="none" w:sz="0" w:space="0" w:color="auto"/>
        <w:left w:val="none" w:sz="0" w:space="0" w:color="auto"/>
        <w:bottom w:val="none" w:sz="0" w:space="0" w:color="auto"/>
        <w:right w:val="none" w:sz="0" w:space="0" w:color="auto"/>
      </w:divBdr>
      <w:divsChild>
        <w:div w:id="1623611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728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1236447">
      <w:bodyDiv w:val="1"/>
      <w:marLeft w:val="0"/>
      <w:marRight w:val="0"/>
      <w:marTop w:val="0"/>
      <w:marBottom w:val="0"/>
      <w:divBdr>
        <w:top w:val="none" w:sz="0" w:space="0" w:color="auto"/>
        <w:left w:val="none" w:sz="0" w:space="0" w:color="auto"/>
        <w:bottom w:val="none" w:sz="0" w:space="0" w:color="auto"/>
        <w:right w:val="none" w:sz="0" w:space="0" w:color="auto"/>
      </w:divBdr>
      <w:divsChild>
        <w:div w:id="1571110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877022">
      <w:bodyDiv w:val="1"/>
      <w:marLeft w:val="0"/>
      <w:marRight w:val="0"/>
      <w:marTop w:val="0"/>
      <w:marBottom w:val="0"/>
      <w:divBdr>
        <w:top w:val="none" w:sz="0" w:space="0" w:color="auto"/>
        <w:left w:val="none" w:sz="0" w:space="0" w:color="auto"/>
        <w:bottom w:val="none" w:sz="0" w:space="0" w:color="auto"/>
        <w:right w:val="none" w:sz="0" w:space="0" w:color="auto"/>
      </w:divBdr>
      <w:divsChild>
        <w:div w:id="1180662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668049">
      <w:bodyDiv w:val="1"/>
      <w:marLeft w:val="0"/>
      <w:marRight w:val="0"/>
      <w:marTop w:val="0"/>
      <w:marBottom w:val="0"/>
      <w:divBdr>
        <w:top w:val="none" w:sz="0" w:space="0" w:color="auto"/>
        <w:left w:val="none" w:sz="0" w:space="0" w:color="auto"/>
        <w:bottom w:val="none" w:sz="0" w:space="0" w:color="auto"/>
        <w:right w:val="none" w:sz="0" w:space="0" w:color="auto"/>
      </w:divBdr>
      <w:divsChild>
        <w:div w:id="172930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5096560">
      <w:bodyDiv w:val="1"/>
      <w:marLeft w:val="0"/>
      <w:marRight w:val="0"/>
      <w:marTop w:val="0"/>
      <w:marBottom w:val="0"/>
      <w:divBdr>
        <w:top w:val="none" w:sz="0" w:space="0" w:color="auto"/>
        <w:left w:val="none" w:sz="0" w:space="0" w:color="auto"/>
        <w:bottom w:val="none" w:sz="0" w:space="0" w:color="auto"/>
        <w:right w:val="none" w:sz="0" w:space="0" w:color="auto"/>
      </w:divBdr>
    </w:div>
    <w:div w:id="272203069">
      <w:bodyDiv w:val="1"/>
      <w:marLeft w:val="0"/>
      <w:marRight w:val="0"/>
      <w:marTop w:val="0"/>
      <w:marBottom w:val="0"/>
      <w:divBdr>
        <w:top w:val="none" w:sz="0" w:space="0" w:color="auto"/>
        <w:left w:val="none" w:sz="0" w:space="0" w:color="auto"/>
        <w:bottom w:val="none" w:sz="0" w:space="0" w:color="auto"/>
        <w:right w:val="none" w:sz="0" w:space="0" w:color="auto"/>
      </w:divBdr>
    </w:div>
    <w:div w:id="486701990">
      <w:bodyDiv w:val="1"/>
      <w:marLeft w:val="0"/>
      <w:marRight w:val="0"/>
      <w:marTop w:val="0"/>
      <w:marBottom w:val="0"/>
      <w:divBdr>
        <w:top w:val="none" w:sz="0" w:space="0" w:color="auto"/>
        <w:left w:val="none" w:sz="0" w:space="0" w:color="auto"/>
        <w:bottom w:val="none" w:sz="0" w:space="0" w:color="auto"/>
        <w:right w:val="none" w:sz="0" w:space="0" w:color="auto"/>
      </w:divBdr>
    </w:div>
    <w:div w:id="517086465">
      <w:bodyDiv w:val="1"/>
      <w:marLeft w:val="0"/>
      <w:marRight w:val="0"/>
      <w:marTop w:val="0"/>
      <w:marBottom w:val="0"/>
      <w:divBdr>
        <w:top w:val="none" w:sz="0" w:space="0" w:color="auto"/>
        <w:left w:val="none" w:sz="0" w:space="0" w:color="auto"/>
        <w:bottom w:val="none" w:sz="0" w:space="0" w:color="auto"/>
        <w:right w:val="none" w:sz="0" w:space="0" w:color="auto"/>
      </w:divBdr>
      <w:divsChild>
        <w:div w:id="124470037">
          <w:marLeft w:val="0"/>
          <w:marRight w:val="0"/>
          <w:marTop w:val="0"/>
          <w:marBottom w:val="0"/>
          <w:divBdr>
            <w:top w:val="none" w:sz="0" w:space="0" w:color="auto"/>
            <w:left w:val="none" w:sz="0" w:space="0" w:color="auto"/>
            <w:bottom w:val="none" w:sz="0" w:space="0" w:color="auto"/>
            <w:right w:val="none" w:sz="0" w:space="0" w:color="auto"/>
          </w:divBdr>
          <w:divsChild>
            <w:div w:id="1667511069">
              <w:marLeft w:val="1747"/>
              <w:marRight w:val="0"/>
              <w:marTop w:val="0"/>
              <w:marBottom w:val="0"/>
              <w:divBdr>
                <w:top w:val="none" w:sz="0" w:space="0" w:color="auto"/>
                <w:left w:val="none" w:sz="0" w:space="0" w:color="auto"/>
                <w:bottom w:val="none" w:sz="0" w:space="0" w:color="auto"/>
                <w:right w:val="none" w:sz="0" w:space="0" w:color="auto"/>
              </w:divBdr>
              <w:divsChild>
                <w:div w:id="163289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04707">
      <w:bodyDiv w:val="1"/>
      <w:marLeft w:val="0"/>
      <w:marRight w:val="0"/>
      <w:marTop w:val="0"/>
      <w:marBottom w:val="0"/>
      <w:divBdr>
        <w:top w:val="none" w:sz="0" w:space="0" w:color="auto"/>
        <w:left w:val="none" w:sz="0" w:space="0" w:color="auto"/>
        <w:bottom w:val="none" w:sz="0" w:space="0" w:color="auto"/>
        <w:right w:val="none" w:sz="0" w:space="0" w:color="auto"/>
      </w:divBdr>
      <w:divsChild>
        <w:div w:id="293683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0977302">
      <w:bodyDiv w:val="1"/>
      <w:marLeft w:val="0"/>
      <w:marRight w:val="0"/>
      <w:marTop w:val="0"/>
      <w:marBottom w:val="0"/>
      <w:divBdr>
        <w:top w:val="none" w:sz="0" w:space="0" w:color="auto"/>
        <w:left w:val="none" w:sz="0" w:space="0" w:color="auto"/>
        <w:bottom w:val="none" w:sz="0" w:space="0" w:color="auto"/>
        <w:right w:val="none" w:sz="0" w:space="0" w:color="auto"/>
      </w:divBdr>
    </w:div>
    <w:div w:id="770471487">
      <w:bodyDiv w:val="1"/>
      <w:marLeft w:val="0"/>
      <w:marRight w:val="0"/>
      <w:marTop w:val="0"/>
      <w:marBottom w:val="0"/>
      <w:divBdr>
        <w:top w:val="none" w:sz="0" w:space="0" w:color="auto"/>
        <w:left w:val="none" w:sz="0" w:space="0" w:color="auto"/>
        <w:bottom w:val="none" w:sz="0" w:space="0" w:color="auto"/>
        <w:right w:val="none" w:sz="0" w:space="0" w:color="auto"/>
      </w:divBdr>
      <w:divsChild>
        <w:div w:id="270020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903458">
      <w:bodyDiv w:val="1"/>
      <w:marLeft w:val="0"/>
      <w:marRight w:val="0"/>
      <w:marTop w:val="0"/>
      <w:marBottom w:val="0"/>
      <w:divBdr>
        <w:top w:val="none" w:sz="0" w:space="0" w:color="auto"/>
        <w:left w:val="none" w:sz="0" w:space="0" w:color="auto"/>
        <w:bottom w:val="none" w:sz="0" w:space="0" w:color="auto"/>
        <w:right w:val="none" w:sz="0" w:space="0" w:color="auto"/>
      </w:divBdr>
      <w:divsChild>
        <w:div w:id="642346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376306">
      <w:bodyDiv w:val="1"/>
      <w:marLeft w:val="0"/>
      <w:marRight w:val="0"/>
      <w:marTop w:val="0"/>
      <w:marBottom w:val="0"/>
      <w:divBdr>
        <w:top w:val="none" w:sz="0" w:space="0" w:color="auto"/>
        <w:left w:val="none" w:sz="0" w:space="0" w:color="auto"/>
        <w:bottom w:val="none" w:sz="0" w:space="0" w:color="auto"/>
        <w:right w:val="none" w:sz="0" w:space="0" w:color="auto"/>
      </w:divBdr>
      <w:divsChild>
        <w:div w:id="1186940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748859">
      <w:bodyDiv w:val="1"/>
      <w:marLeft w:val="0"/>
      <w:marRight w:val="0"/>
      <w:marTop w:val="0"/>
      <w:marBottom w:val="0"/>
      <w:divBdr>
        <w:top w:val="none" w:sz="0" w:space="0" w:color="auto"/>
        <w:left w:val="none" w:sz="0" w:space="0" w:color="auto"/>
        <w:bottom w:val="none" w:sz="0" w:space="0" w:color="auto"/>
        <w:right w:val="none" w:sz="0" w:space="0" w:color="auto"/>
      </w:divBdr>
      <w:divsChild>
        <w:div w:id="14233745">
          <w:marLeft w:val="0"/>
          <w:marRight w:val="0"/>
          <w:marTop w:val="0"/>
          <w:marBottom w:val="0"/>
          <w:divBdr>
            <w:top w:val="none" w:sz="0" w:space="0" w:color="auto"/>
            <w:left w:val="none" w:sz="0" w:space="0" w:color="auto"/>
            <w:bottom w:val="none" w:sz="0" w:space="0" w:color="auto"/>
            <w:right w:val="none" w:sz="0" w:space="0" w:color="auto"/>
          </w:divBdr>
          <w:divsChild>
            <w:div w:id="581988353">
              <w:marLeft w:val="1747"/>
              <w:marRight w:val="0"/>
              <w:marTop w:val="0"/>
              <w:marBottom w:val="0"/>
              <w:divBdr>
                <w:top w:val="none" w:sz="0" w:space="0" w:color="auto"/>
                <w:left w:val="none" w:sz="0" w:space="0" w:color="auto"/>
                <w:bottom w:val="none" w:sz="0" w:space="0" w:color="auto"/>
                <w:right w:val="none" w:sz="0" w:space="0" w:color="auto"/>
              </w:divBdr>
              <w:divsChild>
                <w:div w:id="84417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41893">
      <w:bodyDiv w:val="1"/>
      <w:marLeft w:val="0"/>
      <w:marRight w:val="0"/>
      <w:marTop w:val="0"/>
      <w:marBottom w:val="0"/>
      <w:divBdr>
        <w:top w:val="none" w:sz="0" w:space="0" w:color="auto"/>
        <w:left w:val="none" w:sz="0" w:space="0" w:color="auto"/>
        <w:bottom w:val="none" w:sz="0" w:space="0" w:color="auto"/>
        <w:right w:val="none" w:sz="0" w:space="0" w:color="auto"/>
      </w:divBdr>
    </w:div>
    <w:div w:id="992760242">
      <w:bodyDiv w:val="1"/>
      <w:marLeft w:val="0"/>
      <w:marRight w:val="0"/>
      <w:marTop w:val="0"/>
      <w:marBottom w:val="0"/>
      <w:divBdr>
        <w:top w:val="none" w:sz="0" w:space="0" w:color="auto"/>
        <w:left w:val="none" w:sz="0" w:space="0" w:color="auto"/>
        <w:bottom w:val="none" w:sz="0" w:space="0" w:color="auto"/>
        <w:right w:val="none" w:sz="0" w:space="0" w:color="auto"/>
      </w:divBdr>
    </w:div>
    <w:div w:id="1025517674">
      <w:bodyDiv w:val="1"/>
      <w:marLeft w:val="0"/>
      <w:marRight w:val="0"/>
      <w:marTop w:val="0"/>
      <w:marBottom w:val="0"/>
      <w:divBdr>
        <w:top w:val="none" w:sz="0" w:space="0" w:color="auto"/>
        <w:left w:val="none" w:sz="0" w:space="0" w:color="auto"/>
        <w:bottom w:val="none" w:sz="0" w:space="0" w:color="auto"/>
        <w:right w:val="none" w:sz="0" w:space="0" w:color="auto"/>
      </w:divBdr>
      <w:divsChild>
        <w:div w:id="608850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5225683">
      <w:bodyDiv w:val="1"/>
      <w:marLeft w:val="0"/>
      <w:marRight w:val="0"/>
      <w:marTop w:val="0"/>
      <w:marBottom w:val="0"/>
      <w:divBdr>
        <w:top w:val="none" w:sz="0" w:space="0" w:color="auto"/>
        <w:left w:val="none" w:sz="0" w:space="0" w:color="auto"/>
        <w:bottom w:val="none" w:sz="0" w:space="0" w:color="auto"/>
        <w:right w:val="none" w:sz="0" w:space="0" w:color="auto"/>
      </w:divBdr>
      <w:divsChild>
        <w:div w:id="1146778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2073285">
      <w:bodyDiv w:val="1"/>
      <w:marLeft w:val="0"/>
      <w:marRight w:val="0"/>
      <w:marTop w:val="0"/>
      <w:marBottom w:val="0"/>
      <w:divBdr>
        <w:top w:val="none" w:sz="0" w:space="0" w:color="auto"/>
        <w:left w:val="none" w:sz="0" w:space="0" w:color="auto"/>
        <w:bottom w:val="none" w:sz="0" w:space="0" w:color="auto"/>
        <w:right w:val="none" w:sz="0" w:space="0" w:color="auto"/>
      </w:divBdr>
      <w:divsChild>
        <w:div w:id="1044984764">
          <w:marLeft w:val="0"/>
          <w:marRight w:val="0"/>
          <w:marTop w:val="0"/>
          <w:marBottom w:val="0"/>
          <w:divBdr>
            <w:top w:val="none" w:sz="0" w:space="0" w:color="auto"/>
            <w:left w:val="none" w:sz="0" w:space="0" w:color="auto"/>
            <w:bottom w:val="none" w:sz="0" w:space="0" w:color="auto"/>
            <w:right w:val="none" w:sz="0" w:space="0" w:color="auto"/>
          </w:divBdr>
          <w:divsChild>
            <w:div w:id="20088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642821">
      <w:bodyDiv w:val="1"/>
      <w:marLeft w:val="0"/>
      <w:marRight w:val="0"/>
      <w:marTop w:val="0"/>
      <w:marBottom w:val="0"/>
      <w:divBdr>
        <w:top w:val="none" w:sz="0" w:space="0" w:color="auto"/>
        <w:left w:val="none" w:sz="0" w:space="0" w:color="auto"/>
        <w:bottom w:val="none" w:sz="0" w:space="0" w:color="auto"/>
        <w:right w:val="none" w:sz="0" w:space="0" w:color="auto"/>
      </w:divBdr>
    </w:div>
    <w:div w:id="1157501348">
      <w:bodyDiv w:val="1"/>
      <w:marLeft w:val="0"/>
      <w:marRight w:val="0"/>
      <w:marTop w:val="0"/>
      <w:marBottom w:val="0"/>
      <w:divBdr>
        <w:top w:val="none" w:sz="0" w:space="0" w:color="auto"/>
        <w:left w:val="none" w:sz="0" w:space="0" w:color="auto"/>
        <w:bottom w:val="none" w:sz="0" w:space="0" w:color="auto"/>
        <w:right w:val="none" w:sz="0" w:space="0" w:color="auto"/>
      </w:divBdr>
      <w:divsChild>
        <w:div w:id="183055322">
          <w:marLeft w:val="0"/>
          <w:marRight w:val="0"/>
          <w:marTop w:val="0"/>
          <w:marBottom w:val="0"/>
          <w:divBdr>
            <w:top w:val="none" w:sz="0" w:space="0" w:color="auto"/>
            <w:left w:val="none" w:sz="0" w:space="0" w:color="auto"/>
            <w:bottom w:val="none" w:sz="0" w:space="0" w:color="auto"/>
            <w:right w:val="none" w:sz="0" w:space="0" w:color="auto"/>
          </w:divBdr>
          <w:divsChild>
            <w:div w:id="956570693">
              <w:marLeft w:val="1747"/>
              <w:marRight w:val="0"/>
              <w:marTop w:val="0"/>
              <w:marBottom w:val="0"/>
              <w:divBdr>
                <w:top w:val="none" w:sz="0" w:space="0" w:color="auto"/>
                <w:left w:val="none" w:sz="0" w:space="0" w:color="auto"/>
                <w:bottom w:val="none" w:sz="0" w:space="0" w:color="auto"/>
                <w:right w:val="none" w:sz="0" w:space="0" w:color="auto"/>
              </w:divBdr>
              <w:divsChild>
                <w:div w:id="211093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25272">
      <w:bodyDiv w:val="1"/>
      <w:marLeft w:val="0"/>
      <w:marRight w:val="0"/>
      <w:marTop w:val="0"/>
      <w:marBottom w:val="0"/>
      <w:divBdr>
        <w:top w:val="none" w:sz="0" w:space="0" w:color="auto"/>
        <w:left w:val="none" w:sz="0" w:space="0" w:color="auto"/>
        <w:bottom w:val="none" w:sz="0" w:space="0" w:color="auto"/>
        <w:right w:val="none" w:sz="0" w:space="0" w:color="auto"/>
      </w:divBdr>
      <w:divsChild>
        <w:div w:id="387539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0302819">
      <w:bodyDiv w:val="1"/>
      <w:marLeft w:val="0"/>
      <w:marRight w:val="0"/>
      <w:marTop w:val="0"/>
      <w:marBottom w:val="0"/>
      <w:divBdr>
        <w:top w:val="none" w:sz="0" w:space="0" w:color="auto"/>
        <w:left w:val="none" w:sz="0" w:space="0" w:color="auto"/>
        <w:bottom w:val="none" w:sz="0" w:space="0" w:color="auto"/>
        <w:right w:val="none" w:sz="0" w:space="0" w:color="auto"/>
      </w:divBdr>
    </w:div>
    <w:div w:id="1391659470">
      <w:bodyDiv w:val="1"/>
      <w:marLeft w:val="0"/>
      <w:marRight w:val="0"/>
      <w:marTop w:val="0"/>
      <w:marBottom w:val="0"/>
      <w:divBdr>
        <w:top w:val="none" w:sz="0" w:space="0" w:color="auto"/>
        <w:left w:val="none" w:sz="0" w:space="0" w:color="auto"/>
        <w:bottom w:val="none" w:sz="0" w:space="0" w:color="auto"/>
        <w:right w:val="none" w:sz="0" w:space="0" w:color="auto"/>
      </w:divBdr>
    </w:div>
    <w:div w:id="1458642811">
      <w:bodyDiv w:val="1"/>
      <w:marLeft w:val="0"/>
      <w:marRight w:val="0"/>
      <w:marTop w:val="0"/>
      <w:marBottom w:val="0"/>
      <w:divBdr>
        <w:top w:val="none" w:sz="0" w:space="0" w:color="auto"/>
        <w:left w:val="none" w:sz="0" w:space="0" w:color="auto"/>
        <w:bottom w:val="none" w:sz="0" w:space="0" w:color="auto"/>
        <w:right w:val="none" w:sz="0" w:space="0" w:color="auto"/>
      </w:divBdr>
    </w:div>
    <w:div w:id="1465927308">
      <w:bodyDiv w:val="1"/>
      <w:marLeft w:val="0"/>
      <w:marRight w:val="0"/>
      <w:marTop w:val="0"/>
      <w:marBottom w:val="0"/>
      <w:divBdr>
        <w:top w:val="none" w:sz="0" w:space="0" w:color="auto"/>
        <w:left w:val="none" w:sz="0" w:space="0" w:color="auto"/>
        <w:bottom w:val="none" w:sz="0" w:space="0" w:color="auto"/>
        <w:right w:val="none" w:sz="0" w:space="0" w:color="auto"/>
      </w:divBdr>
    </w:div>
    <w:div w:id="1555043438">
      <w:bodyDiv w:val="1"/>
      <w:marLeft w:val="0"/>
      <w:marRight w:val="0"/>
      <w:marTop w:val="0"/>
      <w:marBottom w:val="0"/>
      <w:divBdr>
        <w:top w:val="none" w:sz="0" w:space="0" w:color="auto"/>
        <w:left w:val="none" w:sz="0" w:space="0" w:color="auto"/>
        <w:bottom w:val="none" w:sz="0" w:space="0" w:color="auto"/>
        <w:right w:val="none" w:sz="0" w:space="0" w:color="auto"/>
      </w:divBdr>
    </w:div>
    <w:div w:id="1561671199">
      <w:bodyDiv w:val="1"/>
      <w:marLeft w:val="0"/>
      <w:marRight w:val="0"/>
      <w:marTop w:val="0"/>
      <w:marBottom w:val="0"/>
      <w:divBdr>
        <w:top w:val="none" w:sz="0" w:space="0" w:color="auto"/>
        <w:left w:val="none" w:sz="0" w:space="0" w:color="auto"/>
        <w:bottom w:val="none" w:sz="0" w:space="0" w:color="auto"/>
        <w:right w:val="none" w:sz="0" w:space="0" w:color="auto"/>
      </w:divBdr>
    </w:div>
    <w:div w:id="1710107270">
      <w:bodyDiv w:val="1"/>
      <w:marLeft w:val="0"/>
      <w:marRight w:val="0"/>
      <w:marTop w:val="0"/>
      <w:marBottom w:val="0"/>
      <w:divBdr>
        <w:top w:val="none" w:sz="0" w:space="0" w:color="auto"/>
        <w:left w:val="none" w:sz="0" w:space="0" w:color="auto"/>
        <w:bottom w:val="none" w:sz="0" w:space="0" w:color="auto"/>
        <w:right w:val="none" w:sz="0" w:space="0" w:color="auto"/>
      </w:divBdr>
      <w:divsChild>
        <w:div w:id="1816558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5058111">
      <w:bodyDiv w:val="1"/>
      <w:marLeft w:val="0"/>
      <w:marRight w:val="0"/>
      <w:marTop w:val="0"/>
      <w:marBottom w:val="0"/>
      <w:divBdr>
        <w:top w:val="none" w:sz="0" w:space="0" w:color="auto"/>
        <w:left w:val="none" w:sz="0" w:space="0" w:color="auto"/>
        <w:bottom w:val="none" w:sz="0" w:space="0" w:color="auto"/>
        <w:right w:val="none" w:sz="0" w:space="0" w:color="auto"/>
      </w:divBdr>
    </w:div>
    <w:div w:id="1727290634">
      <w:bodyDiv w:val="1"/>
      <w:marLeft w:val="0"/>
      <w:marRight w:val="0"/>
      <w:marTop w:val="0"/>
      <w:marBottom w:val="0"/>
      <w:divBdr>
        <w:top w:val="none" w:sz="0" w:space="0" w:color="auto"/>
        <w:left w:val="none" w:sz="0" w:space="0" w:color="auto"/>
        <w:bottom w:val="none" w:sz="0" w:space="0" w:color="auto"/>
        <w:right w:val="none" w:sz="0" w:space="0" w:color="auto"/>
      </w:divBdr>
      <w:divsChild>
        <w:div w:id="512764700">
          <w:marLeft w:val="133"/>
          <w:marRight w:val="133"/>
          <w:marTop w:val="0"/>
          <w:marBottom w:val="0"/>
          <w:divBdr>
            <w:top w:val="none" w:sz="0" w:space="0" w:color="auto"/>
            <w:left w:val="none" w:sz="0" w:space="0" w:color="auto"/>
            <w:bottom w:val="none" w:sz="0" w:space="0" w:color="auto"/>
            <w:right w:val="none" w:sz="0" w:space="0" w:color="auto"/>
          </w:divBdr>
          <w:divsChild>
            <w:div w:id="25567749">
              <w:marLeft w:val="200"/>
              <w:marRight w:val="200"/>
              <w:marTop w:val="0"/>
              <w:marBottom w:val="0"/>
              <w:divBdr>
                <w:top w:val="none" w:sz="0" w:space="0" w:color="auto"/>
                <w:left w:val="none" w:sz="0" w:space="0" w:color="auto"/>
                <w:bottom w:val="none" w:sz="0" w:space="0" w:color="auto"/>
                <w:right w:val="none" w:sz="0" w:space="0" w:color="auto"/>
              </w:divBdr>
              <w:divsChild>
                <w:div w:id="187264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167953">
      <w:bodyDiv w:val="1"/>
      <w:marLeft w:val="0"/>
      <w:marRight w:val="0"/>
      <w:marTop w:val="0"/>
      <w:marBottom w:val="0"/>
      <w:divBdr>
        <w:top w:val="none" w:sz="0" w:space="0" w:color="auto"/>
        <w:left w:val="none" w:sz="0" w:space="0" w:color="auto"/>
        <w:bottom w:val="none" w:sz="0" w:space="0" w:color="auto"/>
        <w:right w:val="none" w:sz="0" w:space="0" w:color="auto"/>
      </w:divBdr>
      <w:divsChild>
        <w:div w:id="1602492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11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272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983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796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0878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276935">
      <w:bodyDiv w:val="1"/>
      <w:marLeft w:val="0"/>
      <w:marRight w:val="0"/>
      <w:marTop w:val="0"/>
      <w:marBottom w:val="0"/>
      <w:divBdr>
        <w:top w:val="none" w:sz="0" w:space="0" w:color="auto"/>
        <w:left w:val="none" w:sz="0" w:space="0" w:color="auto"/>
        <w:bottom w:val="none" w:sz="0" w:space="0" w:color="auto"/>
        <w:right w:val="none" w:sz="0" w:space="0" w:color="auto"/>
      </w:divBdr>
      <w:divsChild>
        <w:div w:id="1975401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84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3790304">
      <w:bodyDiv w:val="1"/>
      <w:marLeft w:val="0"/>
      <w:marRight w:val="0"/>
      <w:marTop w:val="0"/>
      <w:marBottom w:val="0"/>
      <w:divBdr>
        <w:top w:val="none" w:sz="0" w:space="0" w:color="auto"/>
        <w:left w:val="none" w:sz="0" w:space="0" w:color="auto"/>
        <w:bottom w:val="none" w:sz="0" w:space="0" w:color="auto"/>
        <w:right w:val="none" w:sz="0" w:space="0" w:color="auto"/>
      </w:divBdr>
      <w:divsChild>
        <w:div w:id="1933081228">
          <w:marLeft w:val="0"/>
          <w:marRight w:val="0"/>
          <w:marTop w:val="0"/>
          <w:marBottom w:val="0"/>
          <w:divBdr>
            <w:top w:val="none" w:sz="0" w:space="0" w:color="auto"/>
            <w:left w:val="none" w:sz="0" w:space="0" w:color="auto"/>
            <w:bottom w:val="none" w:sz="0" w:space="0" w:color="auto"/>
            <w:right w:val="none" w:sz="0" w:space="0" w:color="auto"/>
          </w:divBdr>
          <w:divsChild>
            <w:div w:id="1202790115">
              <w:marLeft w:val="1747"/>
              <w:marRight w:val="0"/>
              <w:marTop w:val="0"/>
              <w:marBottom w:val="0"/>
              <w:divBdr>
                <w:top w:val="none" w:sz="0" w:space="0" w:color="auto"/>
                <w:left w:val="none" w:sz="0" w:space="0" w:color="auto"/>
                <w:bottom w:val="none" w:sz="0" w:space="0" w:color="auto"/>
                <w:right w:val="none" w:sz="0" w:space="0" w:color="auto"/>
              </w:divBdr>
              <w:divsChild>
                <w:div w:id="1134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71711">
      <w:bodyDiv w:val="1"/>
      <w:marLeft w:val="0"/>
      <w:marRight w:val="0"/>
      <w:marTop w:val="0"/>
      <w:marBottom w:val="0"/>
      <w:divBdr>
        <w:top w:val="none" w:sz="0" w:space="0" w:color="auto"/>
        <w:left w:val="none" w:sz="0" w:space="0" w:color="auto"/>
        <w:bottom w:val="none" w:sz="0" w:space="0" w:color="auto"/>
        <w:right w:val="none" w:sz="0" w:space="0" w:color="auto"/>
      </w:divBdr>
      <w:divsChild>
        <w:div w:id="1612593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3172383">
      <w:bodyDiv w:val="1"/>
      <w:marLeft w:val="0"/>
      <w:marRight w:val="0"/>
      <w:marTop w:val="0"/>
      <w:marBottom w:val="0"/>
      <w:divBdr>
        <w:top w:val="none" w:sz="0" w:space="0" w:color="auto"/>
        <w:left w:val="none" w:sz="0" w:space="0" w:color="auto"/>
        <w:bottom w:val="none" w:sz="0" w:space="0" w:color="auto"/>
        <w:right w:val="none" w:sz="0" w:space="0" w:color="auto"/>
      </w:divBdr>
    </w:div>
    <w:div w:id="1909337159">
      <w:bodyDiv w:val="1"/>
      <w:marLeft w:val="0"/>
      <w:marRight w:val="0"/>
      <w:marTop w:val="0"/>
      <w:marBottom w:val="0"/>
      <w:divBdr>
        <w:top w:val="none" w:sz="0" w:space="0" w:color="auto"/>
        <w:left w:val="none" w:sz="0" w:space="0" w:color="auto"/>
        <w:bottom w:val="none" w:sz="0" w:space="0" w:color="auto"/>
        <w:right w:val="none" w:sz="0" w:space="0" w:color="auto"/>
      </w:divBdr>
      <w:divsChild>
        <w:div w:id="910848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3684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40257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099986">
      <w:bodyDiv w:val="1"/>
      <w:marLeft w:val="0"/>
      <w:marRight w:val="0"/>
      <w:marTop w:val="0"/>
      <w:marBottom w:val="0"/>
      <w:divBdr>
        <w:top w:val="none" w:sz="0" w:space="0" w:color="auto"/>
        <w:left w:val="none" w:sz="0" w:space="0" w:color="auto"/>
        <w:bottom w:val="none" w:sz="0" w:space="0" w:color="auto"/>
        <w:right w:val="none" w:sz="0" w:space="0" w:color="auto"/>
      </w:divBdr>
    </w:div>
    <w:div w:id="2010794175">
      <w:bodyDiv w:val="1"/>
      <w:marLeft w:val="0"/>
      <w:marRight w:val="0"/>
      <w:marTop w:val="0"/>
      <w:marBottom w:val="0"/>
      <w:divBdr>
        <w:top w:val="none" w:sz="0" w:space="0" w:color="auto"/>
        <w:left w:val="none" w:sz="0" w:space="0" w:color="auto"/>
        <w:bottom w:val="none" w:sz="0" w:space="0" w:color="auto"/>
        <w:right w:val="none" w:sz="0" w:space="0" w:color="auto"/>
      </w:divBdr>
      <w:divsChild>
        <w:div w:id="1525247570">
          <w:marLeft w:val="0"/>
          <w:marRight w:val="0"/>
          <w:marTop w:val="0"/>
          <w:marBottom w:val="0"/>
          <w:divBdr>
            <w:top w:val="none" w:sz="0" w:space="0" w:color="auto"/>
            <w:left w:val="none" w:sz="0" w:space="0" w:color="auto"/>
            <w:bottom w:val="none" w:sz="0" w:space="0" w:color="auto"/>
            <w:right w:val="none" w:sz="0" w:space="0" w:color="auto"/>
          </w:divBdr>
          <w:divsChild>
            <w:div w:id="1057166797">
              <w:marLeft w:val="1747"/>
              <w:marRight w:val="0"/>
              <w:marTop w:val="0"/>
              <w:marBottom w:val="0"/>
              <w:divBdr>
                <w:top w:val="none" w:sz="0" w:space="0" w:color="auto"/>
                <w:left w:val="none" w:sz="0" w:space="0" w:color="auto"/>
                <w:bottom w:val="none" w:sz="0" w:space="0" w:color="auto"/>
                <w:right w:val="none" w:sz="0" w:space="0" w:color="auto"/>
              </w:divBdr>
              <w:divsChild>
                <w:div w:id="73813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74890">
      <w:bodyDiv w:val="1"/>
      <w:marLeft w:val="0"/>
      <w:marRight w:val="0"/>
      <w:marTop w:val="0"/>
      <w:marBottom w:val="0"/>
      <w:divBdr>
        <w:top w:val="none" w:sz="0" w:space="0" w:color="auto"/>
        <w:left w:val="none" w:sz="0" w:space="0" w:color="auto"/>
        <w:bottom w:val="none" w:sz="0" w:space="0" w:color="auto"/>
        <w:right w:val="none" w:sz="0" w:space="0" w:color="auto"/>
      </w:divBdr>
    </w:div>
    <w:div w:id="2028213288">
      <w:bodyDiv w:val="1"/>
      <w:marLeft w:val="0"/>
      <w:marRight w:val="0"/>
      <w:marTop w:val="0"/>
      <w:marBottom w:val="0"/>
      <w:divBdr>
        <w:top w:val="none" w:sz="0" w:space="0" w:color="auto"/>
        <w:left w:val="none" w:sz="0" w:space="0" w:color="auto"/>
        <w:bottom w:val="none" w:sz="0" w:space="0" w:color="auto"/>
        <w:right w:val="none" w:sz="0" w:space="0" w:color="auto"/>
      </w:divBdr>
    </w:div>
    <w:div w:id="2073844888">
      <w:bodyDiv w:val="1"/>
      <w:marLeft w:val="0"/>
      <w:marRight w:val="0"/>
      <w:marTop w:val="0"/>
      <w:marBottom w:val="0"/>
      <w:divBdr>
        <w:top w:val="none" w:sz="0" w:space="0" w:color="auto"/>
        <w:left w:val="none" w:sz="0" w:space="0" w:color="auto"/>
        <w:bottom w:val="none" w:sz="0" w:space="0" w:color="auto"/>
        <w:right w:val="none" w:sz="0" w:space="0" w:color="auto"/>
      </w:divBdr>
      <w:divsChild>
        <w:div w:id="1409886524">
          <w:marLeft w:val="0"/>
          <w:marRight w:val="0"/>
          <w:marTop w:val="0"/>
          <w:marBottom w:val="0"/>
          <w:divBdr>
            <w:top w:val="none" w:sz="0" w:space="0" w:color="auto"/>
            <w:left w:val="none" w:sz="0" w:space="0" w:color="auto"/>
            <w:bottom w:val="none" w:sz="0" w:space="0" w:color="auto"/>
            <w:right w:val="none" w:sz="0" w:space="0" w:color="auto"/>
          </w:divBdr>
          <w:divsChild>
            <w:div w:id="120163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21189">
      <w:bodyDiv w:val="1"/>
      <w:marLeft w:val="0"/>
      <w:marRight w:val="0"/>
      <w:marTop w:val="0"/>
      <w:marBottom w:val="0"/>
      <w:divBdr>
        <w:top w:val="none" w:sz="0" w:space="0" w:color="auto"/>
        <w:left w:val="none" w:sz="0" w:space="0" w:color="auto"/>
        <w:bottom w:val="none" w:sz="0" w:space="0" w:color="auto"/>
        <w:right w:val="none" w:sz="0" w:space="0" w:color="auto"/>
      </w:divBdr>
      <w:divsChild>
        <w:div w:id="540364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8962187">
      <w:bodyDiv w:val="1"/>
      <w:marLeft w:val="0"/>
      <w:marRight w:val="0"/>
      <w:marTop w:val="0"/>
      <w:marBottom w:val="0"/>
      <w:divBdr>
        <w:top w:val="none" w:sz="0" w:space="0" w:color="auto"/>
        <w:left w:val="none" w:sz="0" w:space="0" w:color="auto"/>
        <w:bottom w:val="none" w:sz="0" w:space="0" w:color="auto"/>
        <w:right w:val="none" w:sz="0" w:space="0" w:color="auto"/>
      </w:divBdr>
      <w:divsChild>
        <w:div w:id="1040787055">
          <w:marLeft w:val="0"/>
          <w:marRight w:val="0"/>
          <w:marTop w:val="0"/>
          <w:marBottom w:val="0"/>
          <w:divBdr>
            <w:top w:val="none" w:sz="0" w:space="0" w:color="auto"/>
            <w:left w:val="none" w:sz="0" w:space="0" w:color="auto"/>
            <w:bottom w:val="none" w:sz="0" w:space="0" w:color="auto"/>
            <w:right w:val="none" w:sz="0" w:space="0" w:color="auto"/>
          </w:divBdr>
          <w:divsChild>
            <w:div w:id="242683983">
              <w:marLeft w:val="1747"/>
              <w:marRight w:val="0"/>
              <w:marTop w:val="0"/>
              <w:marBottom w:val="0"/>
              <w:divBdr>
                <w:top w:val="none" w:sz="0" w:space="0" w:color="auto"/>
                <w:left w:val="none" w:sz="0" w:space="0" w:color="auto"/>
                <w:bottom w:val="none" w:sz="0" w:space="0" w:color="auto"/>
                <w:right w:val="none" w:sz="0" w:space="0" w:color="auto"/>
              </w:divBdr>
              <w:divsChild>
                <w:div w:id="148401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Designated Subjects Career/Technical Educator Preparation Program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8566D8-27A5-4C4E-BB88-545584AA8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63</Pages>
  <Words>7248</Words>
  <Characters>41318</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CTE Program Standards</vt:lpstr>
    </vt:vector>
  </TitlesOfParts>
  <Company>California State Univeristy</Company>
  <LinksUpToDate>false</LinksUpToDate>
  <CharactersWithSpaces>48470</CharactersWithSpaces>
  <SharedDoc>false</SharedDoc>
  <HLinks>
    <vt:vector size="360" baseType="variant">
      <vt:variant>
        <vt:i4>1114173</vt:i4>
      </vt:variant>
      <vt:variant>
        <vt:i4>356</vt:i4>
      </vt:variant>
      <vt:variant>
        <vt:i4>0</vt:i4>
      </vt:variant>
      <vt:variant>
        <vt:i4>5</vt:i4>
      </vt:variant>
      <vt:variant>
        <vt:lpwstr/>
      </vt:variant>
      <vt:variant>
        <vt:lpwstr>_Toc262297452</vt:lpwstr>
      </vt:variant>
      <vt:variant>
        <vt:i4>1114173</vt:i4>
      </vt:variant>
      <vt:variant>
        <vt:i4>350</vt:i4>
      </vt:variant>
      <vt:variant>
        <vt:i4>0</vt:i4>
      </vt:variant>
      <vt:variant>
        <vt:i4>5</vt:i4>
      </vt:variant>
      <vt:variant>
        <vt:lpwstr/>
      </vt:variant>
      <vt:variant>
        <vt:lpwstr>_Toc262297451</vt:lpwstr>
      </vt:variant>
      <vt:variant>
        <vt:i4>1114173</vt:i4>
      </vt:variant>
      <vt:variant>
        <vt:i4>344</vt:i4>
      </vt:variant>
      <vt:variant>
        <vt:i4>0</vt:i4>
      </vt:variant>
      <vt:variant>
        <vt:i4>5</vt:i4>
      </vt:variant>
      <vt:variant>
        <vt:lpwstr/>
      </vt:variant>
      <vt:variant>
        <vt:lpwstr>_Toc262297450</vt:lpwstr>
      </vt:variant>
      <vt:variant>
        <vt:i4>1048637</vt:i4>
      </vt:variant>
      <vt:variant>
        <vt:i4>338</vt:i4>
      </vt:variant>
      <vt:variant>
        <vt:i4>0</vt:i4>
      </vt:variant>
      <vt:variant>
        <vt:i4>5</vt:i4>
      </vt:variant>
      <vt:variant>
        <vt:lpwstr/>
      </vt:variant>
      <vt:variant>
        <vt:lpwstr>_Toc262297449</vt:lpwstr>
      </vt:variant>
      <vt:variant>
        <vt:i4>1048637</vt:i4>
      </vt:variant>
      <vt:variant>
        <vt:i4>332</vt:i4>
      </vt:variant>
      <vt:variant>
        <vt:i4>0</vt:i4>
      </vt:variant>
      <vt:variant>
        <vt:i4>5</vt:i4>
      </vt:variant>
      <vt:variant>
        <vt:lpwstr/>
      </vt:variant>
      <vt:variant>
        <vt:lpwstr>_Toc262297448</vt:lpwstr>
      </vt:variant>
      <vt:variant>
        <vt:i4>1048637</vt:i4>
      </vt:variant>
      <vt:variant>
        <vt:i4>326</vt:i4>
      </vt:variant>
      <vt:variant>
        <vt:i4>0</vt:i4>
      </vt:variant>
      <vt:variant>
        <vt:i4>5</vt:i4>
      </vt:variant>
      <vt:variant>
        <vt:lpwstr/>
      </vt:variant>
      <vt:variant>
        <vt:lpwstr>_Toc262297447</vt:lpwstr>
      </vt:variant>
      <vt:variant>
        <vt:i4>1048637</vt:i4>
      </vt:variant>
      <vt:variant>
        <vt:i4>320</vt:i4>
      </vt:variant>
      <vt:variant>
        <vt:i4>0</vt:i4>
      </vt:variant>
      <vt:variant>
        <vt:i4>5</vt:i4>
      </vt:variant>
      <vt:variant>
        <vt:lpwstr/>
      </vt:variant>
      <vt:variant>
        <vt:lpwstr>_Toc262297446</vt:lpwstr>
      </vt:variant>
      <vt:variant>
        <vt:i4>1048637</vt:i4>
      </vt:variant>
      <vt:variant>
        <vt:i4>314</vt:i4>
      </vt:variant>
      <vt:variant>
        <vt:i4>0</vt:i4>
      </vt:variant>
      <vt:variant>
        <vt:i4>5</vt:i4>
      </vt:variant>
      <vt:variant>
        <vt:lpwstr/>
      </vt:variant>
      <vt:variant>
        <vt:lpwstr>_Toc262297445</vt:lpwstr>
      </vt:variant>
      <vt:variant>
        <vt:i4>1048637</vt:i4>
      </vt:variant>
      <vt:variant>
        <vt:i4>308</vt:i4>
      </vt:variant>
      <vt:variant>
        <vt:i4>0</vt:i4>
      </vt:variant>
      <vt:variant>
        <vt:i4>5</vt:i4>
      </vt:variant>
      <vt:variant>
        <vt:lpwstr/>
      </vt:variant>
      <vt:variant>
        <vt:lpwstr>_Toc262297444</vt:lpwstr>
      </vt:variant>
      <vt:variant>
        <vt:i4>1048637</vt:i4>
      </vt:variant>
      <vt:variant>
        <vt:i4>302</vt:i4>
      </vt:variant>
      <vt:variant>
        <vt:i4>0</vt:i4>
      </vt:variant>
      <vt:variant>
        <vt:i4>5</vt:i4>
      </vt:variant>
      <vt:variant>
        <vt:lpwstr/>
      </vt:variant>
      <vt:variant>
        <vt:lpwstr>_Toc262297443</vt:lpwstr>
      </vt:variant>
      <vt:variant>
        <vt:i4>1048637</vt:i4>
      </vt:variant>
      <vt:variant>
        <vt:i4>296</vt:i4>
      </vt:variant>
      <vt:variant>
        <vt:i4>0</vt:i4>
      </vt:variant>
      <vt:variant>
        <vt:i4>5</vt:i4>
      </vt:variant>
      <vt:variant>
        <vt:lpwstr/>
      </vt:variant>
      <vt:variant>
        <vt:lpwstr>_Toc262297442</vt:lpwstr>
      </vt:variant>
      <vt:variant>
        <vt:i4>1048637</vt:i4>
      </vt:variant>
      <vt:variant>
        <vt:i4>290</vt:i4>
      </vt:variant>
      <vt:variant>
        <vt:i4>0</vt:i4>
      </vt:variant>
      <vt:variant>
        <vt:i4>5</vt:i4>
      </vt:variant>
      <vt:variant>
        <vt:lpwstr/>
      </vt:variant>
      <vt:variant>
        <vt:lpwstr>_Toc262297441</vt:lpwstr>
      </vt:variant>
      <vt:variant>
        <vt:i4>1048637</vt:i4>
      </vt:variant>
      <vt:variant>
        <vt:i4>284</vt:i4>
      </vt:variant>
      <vt:variant>
        <vt:i4>0</vt:i4>
      </vt:variant>
      <vt:variant>
        <vt:i4>5</vt:i4>
      </vt:variant>
      <vt:variant>
        <vt:lpwstr/>
      </vt:variant>
      <vt:variant>
        <vt:lpwstr>_Toc262297440</vt:lpwstr>
      </vt:variant>
      <vt:variant>
        <vt:i4>1507389</vt:i4>
      </vt:variant>
      <vt:variant>
        <vt:i4>278</vt:i4>
      </vt:variant>
      <vt:variant>
        <vt:i4>0</vt:i4>
      </vt:variant>
      <vt:variant>
        <vt:i4>5</vt:i4>
      </vt:variant>
      <vt:variant>
        <vt:lpwstr/>
      </vt:variant>
      <vt:variant>
        <vt:lpwstr>_Toc262297439</vt:lpwstr>
      </vt:variant>
      <vt:variant>
        <vt:i4>1507389</vt:i4>
      </vt:variant>
      <vt:variant>
        <vt:i4>272</vt:i4>
      </vt:variant>
      <vt:variant>
        <vt:i4>0</vt:i4>
      </vt:variant>
      <vt:variant>
        <vt:i4>5</vt:i4>
      </vt:variant>
      <vt:variant>
        <vt:lpwstr/>
      </vt:variant>
      <vt:variant>
        <vt:lpwstr>_Toc262297438</vt:lpwstr>
      </vt:variant>
      <vt:variant>
        <vt:i4>1507389</vt:i4>
      </vt:variant>
      <vt:variant>
        <vt:i4>266</vt:i4>
      </vt:variant>
      <vt:variant>
        <vt:i4>0</vt:i4>
      </vt:variant>
      <vt:variant>
        <vt:i4>5</vt:i4>
      </vt:variant>
      <vt:variant>
        <vt:lpwstr/>
      </vt:variant>
      <vt:variant>
        <vt:lpwstr>_Toc262297437</vt:lpwstr>
      </vt:variant>
      <vt:variant>
        <vt:i4>1507389</vt:i4>
      </vt:variant>
      <vt:variant>
        <vt:i4>260</vt:i4>
      </vt:variant>
      <vt:variant>
        <vt:i4>0</vt:i4>
      </vt:variant>
      <vt:variant>
        <vt:i4>5</vt:i4>
      </vt:variant>
      <vt:variant>
        <vt:lpwstr/>
      </vt:variant>
      <vt:variant>
        <vt:lpwstr>_Toc262297436</vt:lpwstr>
      </vt:variant>
      <vt:variant>
        <vt:i4>1507389</vt:i4>
      </vt:variant>
      <vt:variant>
        <vt:i4>254</vt:i4>
      </vt:variant>
      <vt:variant>
        <vt:i4>0</vt:i4>
      </vt:variant>
      <vt:variant>
        <vt:i4>5</vt:i4>
      </vt:variant>
      <vt:variant>
        <vt:lpwstr/>
      </vt:variant>
      <vt:variant>
        <vt:lpwstr>_Toc262297435</vt:lpwstr>
      </vt:variant>
      <vt:variant>
        <vt:i4>1507389</vt:i4>
      </vt:variant>
      <vt:variant>
        <vt:i4>248</vt:i4>
      </vt:variant>
      <vt:variant>
        <vt:i4>0</vt:i4>
      </vt:variant>
      <vt:variant>
        <vt:i4>5</vt:i4>
      </vt:variant>
      <vt:variant>
        <vt:lpwstr/>
      </vt:variant>
      <vt:variant>
        <vt:lpwstr>_Toc262297434</vt:lpwstr>
      </vt:variant>
      <vt:variant>
        <vt:i4>1507389</vt:i4>
      </vt:variant>
      <vt:variant>
        <vt:i4>242</vt:i4>
      </vt:variant>
      <vt:variant>
        <vt:i4>0</vt:i4>
      </vt:variant>
      <vt:variant>
        <vt:i4>5</vt:i4>
      </vt:variant>
      <vt:variant>
        <vt:lpwstr/>
      </vt:variant>
      <vt:variant>
        <vt:lpwstr>_Toc262297433</vt:lpwstr>
      </vt:variant>
      <vt:variant>
        <vt:i4>1507389</vt:i4>
      </vt:variant>
      <vt:variant>
        <vt:i4>236</vt:i4>
      </vt:variant>
      <vt:variant>
        <vt:i4>0</vt:i4>
      </vt:variant>
      <vt:variant>
        <vt:i4>5</vt:i4>
      </vt:variant>
      <vt:variant>
        <vt:lpwstr/>
      </vt:variant>
      <vt:variant>
        <vt:lpwstr>_Toc262297432</vt:lpwstr>
      </vt:variant>
      <vt:variant>
        <vt:i4>1507389</vt:i4>
      </vt:variant>
      <vt:variant>
        <vt:i4>230</vt:i4>
      </vt:variant>
      <vt:variant>
        <vt:i4>0</vt:i4>
      </vt:variant>
      <vt:variant>
        <vt:i4>5</vt:i4>
      </vt:variant>
      <vt:variant>
        <vt:lpwstr/>
      </vt:variant>
      <vt:variant>
        <vt:lpwstr>_Toc262297431</vt:lpwstr>
      </vt:variant>
      <vt:variant>
        <vt:i4>1507389</vt:i4>
      </vt:variant>
      <vt:variant>
        <vt:i4>224</vt:i4>
      </vt:variant>
      <vt:variant>
        <vt:i4>0</vt:i4>
      </vt:variant>
      <vt:variant>
        <vt:i4>5</vt:i4>
      </vt:variant>
      <vt:variant>
        <vt:lpwstr/>
      </vt:variant>
      <vt:variant>
        <vt:lpwstr>_Toc262297430</vt:lpwstr>
      </vt:variant>
      <vt:variant>
        <vt:i4>1441853</vt:i4>
      </vt:variant>
      <vt:variant>
        <vt:i4>218</vt:i4>
      </vt:variant>
      <vt:variant>
        <vt:i4>0</vt:i4>
      </vt:variant>
      <vt:variant>
        <vt:i4>5</vt:i4>
      </vt:variant>
      <vt:variant>
        <vt:lpwstr/>
      </vt:variant>
      <vt:variant>
        <vt:lpwstr>_Toc262297429</vt:lpwstr>
      </vt:variant>
      <vt:variant>
        <vt:i4>1441853</vt:i4>
      </vt:variant>
      <vt:variant>
        <vt:i4>212</vt:i4>
      </vt:variant>
      <vt:variant>
        <vt:i4>0</vt:i4>
      </vt:variant>
      <vt:variant>
        <vt:i4>5</vt:i4>
      </vt:variant>
      <vt:variant>
        <vt:lpwstr/>
      </vt:variant>
      <vt:variant>
        <vt:lpwstr>_Toc262297428</vt:lpwstr>
      </vt:variant>
      <vt:variant>
        <vt:i4>1441853</vt:i4>
      </vt:variant>
      <vt:variant>
        <vt:i4>206</vt:i4>
      </vt:variant>
      <vt:variant>
        <vt:i4>0</vt:i4>
      </vt:variant>
      <vt:variant>
        <vt:i4>5</vt:i4>
      </vt:variant>
      <vt:variant>
        <vt:lpwstr/>
      </vt:variant>
      <vt:variant>
        <vt:lpwstr>_Toc262297427</vt:lpwstr>
      </vt:variant>
      <vt:variant>
        <vt:i4>1441853</vt:i4>
      </vt:variant>
      <vt:variant>
        <vt:i4>200</vt:i4>
      </vt:variant>
      <vt:variant>
        <vt:i4>0</vt:i4>
      </vt:variant>
      <vt:variant>
        <vt:i4>5</vt:i4>
      </vt:variant>
      <vt:variant>
        <vt:lpwstr/>
      </vt:variant>
      <vt:variant>
        <vt:lpwstr>_Toc262297426</vt:lpwstr>
      </vt:variant>
      <vt:variant>
        <vt:i4>1441853</vt:i4>
      </vt:variant>
      <vt:variant>
        <vt:i4>194</vt:i4>
      </vt:variant>
      <vt:variant>
        <vt:i4>0</vt:i4>
      </vt:variant>
      <vt:variant>
        <vt:i4>5</vt:i4>
      </vt:variant>
      <vt:variant>
        <vt:lpwstr/>
      </vt:variant>
      <vt:variant>
        <vt:lpwstr>_Toc262297425</vt:lpwstr>
      </vt:variant>
      <vt:variant>
        <vt:i4>1441853</vt:i4>
      </vt:variant>
      <vt:variant>
        <vt:i4>188</vt:i4>
      </vt:variant>
      <vt:variant>
        <vt:i4>0</vt:i4>
      </vt:variant>
      <vt:variant>
        <vt:i4>5</vt:i4>
      </vt:variant>
      <vt:variant>
        <vt:lpwstr/>
      </vt:variant>
      <vt:variant>
        <vt:lpwstr>_Toc262297424</vt:lpwstr>
      </vt:variant>
      <vt:variant>
        <vt:i4>1441853</vt:i4>
      </vt:variant>
      <vt:variant>
        <vt:i4>182</vt:i4>
      </vt:variant>
      <vt:variant>
        <vt:i4>0</vt:i4>
      </vt:variant>
      <vt:variant>
        <vt:i4>5</vt:i4>
      </vt:variant>
      <vt:variant>
        <vt:lpwstr/>
      </vt:variant>
      <vt:variant>
        <vt:lpwstr>_Toc262297423</vt:lpwstr>
      </vt:variant>
      <vt:variant>
        <vt:i4>1441853</vt:i4>
      </vt:variant>
      <vt:variant>
        <vt:i4>176</vt:i4>
      </vt:variant>
      <vt:variant>
        <vt:i4>0</vt:i4>
      </vt:variant>
      <vt:variant>
        <vt:i4>5</vt:i4>
      </vt:variant>
      <vt:variant>
        <vt:lpwstr/>
      </vt:variant>
      <vt:variant>
        <vt:lpwstr>_Toc262297422</vt:lpwstr>
      </vt:variant>
      <vt:variant>
        <vt:i4>1441853</vt:i4>
      </vt:variant>
      <vt:variant>
        <vt:i4>170</vt:i4>
      </vt:variant>
      <vt:variant>
        <vt:i4>0</vt:i4>
      </vt:variant>
      <vt:variant>
        <vt:i4>5</vt:i4>
      </vt:variant>
      <vt:variant>
        <vt:lpwstr/>
      </vt:variant>
      <vt:variant>
        <vt:lpwstr>_Toc262297421</vt:lpwstr>
      </vt:variant>
      <vt:variant>
        <vt:i4>1441853</vt:i4>
      </vt:variant>
      <vt:variant>
        <vt:i4>164</vt:i4>
      </vt:variant>
      <vt:variant>
        <vt:i4>0</vt:i4>
      </vt:variant>
      <vt:variant>
        <vt:i4>5</vt:i4>
      </vt:variant>
      <vt:variant>
        <vt:lpwstr/>
      </vt:variant>
      <vt:variant>
        <vt:lpwstr>_Toc262297420</vt:lpwstr>
      </vt:variant>
      <vt:variant>
        <vt:i4>1376317</vt:i4>
      </vt:variant>
      <vt:variant>
        <vt:i4>158</vt:i4>
      </vt:variant>
      <vt:variant>
        <vt:i4>0</vt:i4>
      </vt:variant>
      <vt:variant>
        <vt:i4>5</vt:i4>
      </vt:variant>
      <vt:variant>
        <vt:lpwstr/>
      </vt:variant>
      <vt:variant>
        <vt:lpwstr>_Toc262297419</vt:lpwstr>
      </vt:variant>
      <vt:variant>
        <vt:i4>1376317</vt:i4>
      </vt:variant>
      <vt:variant>
        <vt:i4>152</vt:i4>
      </vt:variant>
      <vt:variant>
        <vt:i4>0</vt:i4>
      </vt:variant>
      <vt:variant>
        <vt:i4>5</vt:i4>
      </vt:variant>
      <vt:variant>
        <vt:lpwstr/>
      </vt:variant>
      <vt:variant>
        <vt:lpwstr>_Toc262297418</vt:lpwstr>
      </vt:variant>
      <vt:variant>
        <vt:i4>1376317</vt:i4>
      </vt:variant>
      <vt:variant>
        <vt:i4>146</vt:i4>
      </vt:variant>
      <vt:variant>
        <vt:i4>0</vt:i4>
      </vt:variant>
      <vt:variant>
        <vt:i4>5</vt:i4>
      </vt:variant>
      <vt:variant>
        <vt:lpwstr/>
      </vt:variant>
      <vt:variant>
        <vt:lpwstr>_Toc262297417</vt:lpwstr>
      </vt:variant>
      <vt:variant>
        <vt:i4>1376317</vt:i4>
      </vt:variant>
      <vt:variant>
        <vt:i4>140</vt:i4>
      </vt:variant>
      <vt:variant>
        <vt:i4>0</vt:i4>
      </vt:variant>
      <vt:variant>
        <vt:i4>5</vt:i4>
      </vt:variant>
      <vt:variant>
        <vt:lpwstr/>
      </vt:variant>
      <vt:variant>
        <vt:lpwstr>_Toc262297416</vt:lpwstr>
      </vt:variant>
      <vt:variant>
        <vt:i4>1376317</vt:i4>
      </vt:variant>
      <vt:variant>
        <vt:i4>134</vt:i4>
      </vt:variant>
      <vt:variant>
        <vt:i4>0</vt:i4>
      </vt:variant>
      <vt:variant>
        <vt:i4>5</vt:i4>
      </vt:variant>
      <vt:variant>
        <vt:lpwstr/>
      </vt:variant>
      <vt:variant>
        <vt:lpwstr>_Toc262297415</vt:lpwstr>
      </vt:variant>
      <vt:variant>
        <vt:i4>1376317</vt:i4>
      </vt:variant>
      <vt:variant>
        <vt:i4>128</vt:i4>
      </vt:variant>
      <vt:variant>
        <vt:i4>0</vt:i4>
      </vt:variant>
      <vt:variant>
        <vt:i4>5</vt:i4>
      </vt:variant>
      <vt:variant>
        <vt:lpwstr/>
      </vt:variant>
      <vt:variant>
        <vt:lpwstr>_Toc262297414</vt:lpwstr>
      </vt:variant>
      <vt:variant>
        <vt:i4>1376317</vt:i4>
      </vt:variant>
      <vt:variant>
        <vt:i4>122</vt:i4>
      </vt:variant>
      <vt:variant>
        <vt:i4>0</vt:i4>
      </vt:variant>
      <vt:variant>
        <vt:i4>5</vt:i4>
      </vt:variant>
      <vt:variant>
        <vt:lpwstr/>
      </vt:variant>
      <vt:variant>
        <vt:lpwstr>_Toc262297413</vt:lpwstr>
      </vt:variant>
      <vt:variant>
        <vt:i4>1376317</vt:i4>
      </vt:variant>
      <vt:variant>
        <vt:i4>116</vt:i4>
      </vt:variant>
      <vt:variant>
        <vt:i4>0</vt:i4>
      </vt:variant>
      <vt:variant>
        <vt:i4>5</vt:i4>
      </vt:variant>
      <vt:variant>
        <vt:lpwstr/>
      </vt:variant>
      <vt:variant>
        <vt:lpwstr>_Toc262297412</vt:lpwstr>
      </vt:variant>
      <vt:variant>
        <vt:i4>1376317</vt:i4>
      </vt:variant>
      <vt:variant>
        <vt:i4>110</vt:i4>
      </vt:variant>
      <vt:variant>
        <vt:i4>0</vt:i4>
      </vt:variant>
      <vt:variant>
        <vt:i4>5</vt:i4>
      </vt:variant>
      <vt:variant>
        <vt:lpwstr/>
      </vt:variant>
      <vt:variant>
        <vt:lpwstr>_Toc262297411</vt:lpwstr>
      </vt:variant>
      <vt:variant>
        <vt:i4>1376317</vt:i4>
      </vt:variant>
      <vt:variant>
        <vt:i4>104</vt:i4>
      </vt:variant>
      <vt:variant>
        <vt:i4>0</vt:i4>
      </vt:variant>
      <vt:variant>
        <vt:i4>5</vt:i4>
      </vt:variant>
      <vt:variant>
        <vt:lpwstr/>
      </vt:variant>
      <vt:variant>
        <vt:lpwstr>_Toc262297410</vt:lpwstr>
      </vt:variant>
      <vt:variant>
        <vt:i4>1310781</vt:i4>
      </vt:variant>
      <vt:variant>
        <vt:i4>98</vt:i4>
      </vt:variant>
      <vt:variant>
        <vt:i4>0</vt:i4>
      </vt:variant>
      <vt:variant>
        <vt:i4>5</vt:i4>
      </vt:variant>
      <vt:variant>
        <vt:lpwstr/>
      </vt:variant>
      <vt:variant>
        <vt:lpwstr>_Toc262297409</vt:lpwstr>
      </vt:variant>
      <vt:variant>
        <vt:i4>1310781</vt:i4>
      </vt:variant>
      <vt:variant>
        <vt:i4>92</vt:i4>
      </vt:variant>
      <vt:variant>
        <vt:i4>0</vt:i4>
      </vt:variant>
      <vt:variant>
        <vt:i4>5</vt:i4>
      </vt:variant>
      <vt:variant>
        <vt:lpwstr/>
      </vt:variant>
      <vt:variant>
        <vt:lpwstr>_Toc262297408</vt:lpwstr>
      </vt:variant>
      <vt:variant>
        <vt:i4>1310781</vt:i4>
      </vt:variant>
      <vt:variant>
        <vt:i4>86</vt:i4>
      </vt:variant>
      <vt:variant>
        <vt:i4>0</vt:i4>
      </vt:variant>
      <vt:variant>
        <vt:i4>5</vt:i4>
      </vt:variant>
      <vt:variant>
        <vt:lpwstr/>
      </vt:variant>
      <vt:variant>
        <vt:lpwstr>_Toc262297407</vt:lpwstr>
      </vt:variant>
      <vt:variant>
        <vt:i4>1310781</vt:i4>
      </vt:variant>
      <vt:variant>
        <vt:i4>80</vt:i4>
      </vt:variant>
      <vt:variant>
        <vt:i4>0</vt:i4>
      </vt:variant>
      <vt:variant>
        <vt:i4>5</vt:i4>
      </vt:variant>
      <vt:variant>
        <vt:lpwstr/>
      </vt:variant>
      <vt:variant>
        <vt:lpwstr>_Toc262297406</vt:lpwstr>
      </vt:variant>
      <vt:variant>
        <vt:i4>1310781</vt:i4>
      </vt:variant>
      <vt:variant>
        <vt:i4>74</vt:i4>
      </vt:variant>
      <vt:variant>
        <vt:i4>0</vt:i4>
      </vt:variant>
      <vt:variant>
        <vt:i4>5</vt:i4>
      </vt:variant>
      <vt:variant>
        <vt:lpwstr/>
      </vt:variant>
      <vt:variant>
        <vt:lpwstr>_Toc262297405</vt:lpwstr>
      </vt:variant>
      <vt:variant>
        <vt:i4>1310781</vt:i4>
      </vt:variant>
      <vt:variant>
        <vt:i4>68</vt:i4>
      </vt:variant>
      <vt:variant>
        <vt:i4>0</vt:i4>
      </vt:variant>
      <vt:variant>
        <vt:i4>5</vt:i4>
      </vt:variant>
      <vt:variant>
        <vt:lpwstr/>
      </vt:variant>
      <vt:variant>
        <vt:lpwstr>_Toc262297404</vt:lpwstr>
      </vt:variant>
      <vt:variant>
        <vt:i4>1310781</vt:i4>
      </vt:variant>
      <vt:variant>
        <vt:i4>62</vt:i4>
      </vt:variant>
      <vt:variant>
        <vt:i4>0</vt:i4>
      </vt:variant>
      <vt:variant>
        <vt:i4>5</vt:i4>
      </vt:variant>
      <vt:variant>
        <vt:lpwstr/>
      </vt:variant>
      <vt:variant>
        <vt:lpwstr>_Toc262297403</vt:lpwstr>
      </vt:variant>
      <vt:variant>
        <vt:i4>1310781</vt:i4>
      </vt:variant>
      <vt:variant>
        <vt:i4>56</vt:i4>
      </vt:variant>
      <vt:variant>
        <vt:i4>0</vt:i4>
      </vt:variant>
      <vt:variant>
        <vt:i4>5</vt:i4>
      </vt:variant>
      <vt:variant>
        <vt:lpwstr/>
      </vt:variant>
      <vt:variant>
        <vt:lpwstr>_Toc262297402</vt:lpwstr>
      </vt:variant>
      <vt:variant>
        <vt:i4>1310781</vt:i4>
      </vt:variant>
      <vt:variant>
        <vt:i4>50</vt:i4>
      </vt:variant>
      <vt:variant>
        <vt:i4>0</vt:i4>
      </vt:variant>
      <vt:variant>
        <vt:i4>5</vt:i4>
      </vt:variant>
      <vt:variant>
        <vt:lpwstr/>
      </vt:variant>
      <vt:variant>
        <vt:lpwstr>_Toc262297401</vt:lpwstr>
      </vt:variant>
      <vt:variant>
        <vt:i4>1310781</vt:i4>
      </vt:variant>
      <vt:variant>
        <vt:i4>44</vt:i4>
      </vt:variant>
      <vt:variant>
        <vt:i4>0</vt:i4>
      </vt:variant>
      <vt:variant>
        <vt:i4>5</vt:i4>
      </vt:variant>
      <vt:variant>
        <vt:lpwstr/>
      </vt:variant>
      <vt:variant>
        <vt:lpwstr>_Toc262297400</vt:lpwstr>
      </vt:variant>
      <vt:variant>
        <vt:i4>1900602</vt:i4>
      </vt:variant>
      <vt:variant>
        <vt:i4>38</vt:i4>
      </vt:variant>
      <vt:variant>
        <vt:i4>0</vt:i4>
      </vt:variant>
      <vt:variant>
        <vt:i4>5</vt:i4>
      </vt:variant>
      <vt:variant>
        <vt:lpwstr/>
      </vt:variant>
      <vt:variant>
        <vt:lpwstr>_Toc262297399</vt:lpwstr>
      </vt:variant>
      <vt:variant>
        <vt:i4>1900602</vt:i4>
      </vt:variant>
      <vt:variant>
        <vt:i4>32</vt:i4>
      </vt:variant>
      <vt:variant>
        <vt:i4>0</vt:i4>
      </vt:variant>
      <vt:variant>
        <vt:i4>5</vt:i4>
      </vt:variant>
      <vt:variant>
        <vt:lpwstr/>
      </vt:variant>
      <vt:variant>
        <vt:lpwstr>_Toc262297398</vt:lpwstr>
      </vt:variant>
      <vt:variant>
        <vt:i4>1900602</vt:i4>
      </vt:variant>
      <vt:variant>
        <vt:i4>26</vt:i4>
      </vt:variant>
      <vt:variant>
        <vt:i4>0</vt:i4>
      </vt:variant>
      <vt:variant>
        <vt:i4>5</vt:i4>
      </vt:variant>
      <vt:variant>
        <vt:lpwstr/>
      </vt:variant>
      <vt:variant>
        <vt:lpwstr>_Toc262297397</vt:lpwstr>
      </vt:variant>
      <vt:variant>
        <vt:i4>1900602</vt:i4>
      </vt:variant>
      <vt:variant>
        <vt:i4>20</vt:i4>
      </vt:variant>
      <vt:variant>
        <vt:i4>0</vt:i4>
      </vt:variant>
      <vt:variant>
        <vt:i4>5</vt:i4>
      </vt:variant>
      <vt:variant>
        <vt:lpwstr/>
      </vt:variant>
      <vt:variant>
        <vt:lpwstr>_Toc262297396</vt:lpwstr>
      </vt:variant>
      <vt:variant>
        <vt:i4>1900602</vt:i4>
      </vt:variant>
      <vt:variant>
        <vt:i4>14</vt:i4>
      </vt:variant>
      <vt:variant>
        <vt:i4>0</vt:i4>
      </vt:variant>
      <vt:variant>
        <vt:i4>5</vt:i4>
      </vt:variant>
      <vt:variant>
        <vt:lpwstr/>
      </vt:variant>
      <vt:variant>
        <vt:lpwstr>_Toc262297395</vt:lpwstr>
      </vt:variant>
      <vt:variant>
        <vt:i4>1900602</vt:i4>
      </vt:variant>
      <vt:variant>
        <vt:i4>8</vt:i4>
      </vt:variant>
      <vt:variant>
        <vt:i4>0</vt:i4>
      </vt:variant>
      <vt:variant>
        <vt:i4>5</vt:i4>
      </vt:variant>
      <vt:variant>
        <vt:lpwstr/>
      </vt:variant>
      <vt:variant>
        <vt:lpwstr>_Toc262297394</vt:lpwstr>
      </vt:variant>
      <vt:variant>
        <vt:i4>1900602</vt:i4>
      </vt:variant>
      <vt:variant>
        <vt:i4>2</vt:i4>
      </vt:variant>
      <vt:variant>
        <vt:i4>0</vt:i4>
      </vt:variant>
      <vt:variant>
        <vt:i4>5</vt:i4>
      </vt:variant>
      <vt:variant>
        <vt:lpwstr/>
      </vt:variant>
      <vt:variant>
        <vt:lpwstr>_Toc262297393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Program Standards</dc:title>
  <dc:subject/>
  <dc:creator>Donna</dc:creator>
  <cp:keywords/>
  <cp:lastModifiedBy>Cunningham, Brenda</cp:lastModifiedBy>
  <cp:revision>38</cp:revision>
  <cp:lastPrinted>2010-05-22T18:55:00Z</cp:lastPrinted>
  <dcterms:created xsi:type="dcterms:W3CDTF">2020-11-19T23:29:00Z</dcterms:created>
  <dcterms:modified xsi:type="dcterms:W3CDTF">2020-12-08T21:37:00Z</dcterms:modified>
</cp:coreProperties>
</file>