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F60D" w14:textId="77777777" w:rsidR="00A51CAF" w:rsidRPr="007127E7" w:rsidRDefault="00A51CAF" w:rsidP="00A51CAF">
      <w:pPr>
        <w:pStyle w:val="Heading1"/>
      </w:pPr>
      <w:r>
        <w:t xml:space="preserve">Bilingual </w:t>
      </w:r>
      <w:r w:rsidRPr="00A51CAF">
        <w:t>Authorization</w:t>
      </w:r>
      <w:r>
        <w:t xml:space="preserve"> </w:t>
      </w:r>
      <w:r w:rsidRPr="007127E7">
        <w:t>Program Standards</w:t>
      </w:r>
    </w:p>
    <w:p w14:paraId="0B9840F8" w14:textId="77777777" w:rsidR="00A51CAF" w:rsidRPr="00A51CAF" w:rsidRDefault="00A51CAF" w:rsidP="00A51CAF">
      <w:pPr>
        <w:jc w:val="center"/>
        <w:rPr>
          <w:i/>
          <w:iCs/>
        </w:rPr>
      </w:pPr>
      <w:r w:rsidRPr="00A51CAF">
        <w:rPr>
          <w:i/>
          <w:iCs/>
        </w:rPr>
        <w:t xml:space="preserve">Adopted </w:t>
      </w:r>
      <w:proofErr w:type="gramStart"/>
      <w:r w:rsidRPr="00A51CAF">
        <w:rPr>
          <w:i/>
          <w:iCs/>
        </w:rPr>
        <w:t>January,</w:t>
      </w:r>
      <w:proofErr w:type="gramEnd"/>
      <w:r w:rsidRPr="00A51CAF">
        <w:rPr>
          <w:i/>
          <w:iCs/>
        </w:rPr>
        <w:t xml:space="preserve"> 2008</w:t>
      </w:r>
    </w:p>
    <w:p w14:paraId="06939A8E" w14:textId="77777777" w:rsidR="00A51CAF" w:rsidRDefault="00A51CAF" w:rsidP="0071760B">
      <w:pPr>
        <w:autoSpaceDE w:val="0"/>
        <w:autoSpaceDN w:val="0"/>
        <w:adjustRightInd w:val="0"/>
        <w:rPr>
          <w:rFonts w:ascii="TimesNewRomanPS-BoldMT" w:hAnsi="TimesNewRomanPS-BoldMT" w:cs="TimesNewRomanPS-BoldMT"/>
          <w:b/>
          <w:bCs/>
        </w:rPr>
      </w:pPr>
    </w:p>
    <w:p w14:paraId="39A67950" w14:textId="12CE11F5" w:rsidR="0071760B" w:rsidRDefault="0071760B" w:rsidP="0071760B">
      <w:pPr>
        <w:autoSpaceDE w:val="0"/>
        <w:autoSpaceDN w:val="0"/>
        <w:adjustRightInd w:val="0"/>
        <w:rPr>
          <w:rFonts w:ascii="TimesNewRomanPS-BoldMT" w:hAnsi="TimesNewRomanPS-BoldMT" w:cs="TimesNewRomanPS-BoldMT"/>
          <w:b/>
          <w:bCs/>
          <w:sz w:val="32"/>
          <w:szCs w:val="32"/>
        </w:rPr>
      </w:pPr>
      <w:r w:rsidRPr="0071760B">
        <w:rPr>
          <w:rFonts w:ascii="TimesNewRomanPS-BoldMT" w:hAnsi="TimesNewRomanPS-BoldMT" w:cs="TimesNewRomanPS-BoldMT"/>
          <w:b/>
          <w:bCs/>
        </w:rPr>
        <w:t>Sample Matrix to guide Bilingual Authorization Routes</w:t>
      </w:r>
      <w:r>
        <w:rPr>
          <w:rFonts w:ascii="TimesNewRomanPS-BoldMT" w:hAnsi="TimesNewRomanPS-BoldMT" w:cs="TimesNewRomanPS-BoldMT"/>
          <w:b/>
          <w:bCs/>
        </w:rPr>
        <w:t>, see handbook appendix</w:t>
      </w:r>
      <w:r w:rsidRPr="0071760B">
        <w:rPr>
          <w:rFonts w:ascii="TimesNewRomanPS-BoldMT" w:hAnsi="TimesNewRomanPS-BoldMT" w:cs="TimesNewRomanPS-BoldMT"/>
          <w:b/>
          <w:bCs/>
        </w:rPr>
        <w:t>-</w:t>
      </w:r>
      <w:r>
        <w:rPr>
          <w:rFonts w:ascii="TimesNewRomanPS-BoldMT" w:hAnsi="TimesNewRomanPS-BoldMT" w:cs="TimesNewRomanPS-BoldMT"/>
          <w:b/>
          <w:bCs/>
          <w:sz w:val="32"/>
          <w:szCs w:val="32"/>
        </w:rPr>
        <w:t xml:space="preserve"> </w:t>
      </w:r>
      <w:hyperlink r:id="rId6" w:history="1">
        <w:r w:rsidRPr="0071760B">
          <w:rPr>
            <w:rStyle w:val="Hyperlink"/>
            <w:rFonts w:ascii="TimesNewRomanPS-BoldMT" w:hAnsi="TimesNewRomanPS-BoldMT" w:cs="TimesNewRomanPS-BoldMT"/>
            <w:bCs/>
          </w:rPr>
          <w:t>http://www.ctc.ca.gov/educator-prep/standards/Bilingual-Authorization-Handb</w:t>
        </w:r>
        <w:r w:rsidRPr="0071760B">
          <w:rPr>
            <w:rStyle w:val="Hyperlink"/>
            <w:rFonts w:ascii="TimesNewRomanPS-BoldMT" w:hAnsi="TimesNewRomanPS-BoldMT" w:cs="TimesNewRomanPS-BoldMT"/>
            <w:bCs/>
          </w:rPr>
          <w:t>o</w:t>
        </w:r>
        <w:r w:rsidRPr="0071760B">
          <w:rPr>
            <w:rStyle w:val="Hyperlink"/>
            <w:rFonts w:ascii="TimesNewRomanPS-BoldMT" w:hAnsi="TimesNewRomanPS-BoldMT" w:cs="TimesNewRomanPS-BoldMT"/>
            <w:bCs/>
          </w:rPr>
          <w:t>ok.pdf</w:t>
        </w:r>
      </w:hyperlink>
    </w:p>
    <w:p w14:paraId="4288BCD7" w14:textId="77777777" w:rsidR="0071760B" w:rsidRDefault="0071760B" w:rsidP="0071760B">
      <w:pPr>
        <w:autoSpaceDE w:val="0"/>
        <w:autoSpaceDN w:val="0"/>
        <w:adjustRightInd w:val="0"/>
        <w:rPr>
          <w:rFonts w:ascii="TimesNewRomanPS-BoldMT" w:hAnsi="TimesNewRomanPS-BoldMT" w:cs="TimesNewRomanPS-BoldMT"/>
          <w:b/>
          <w:bCs/>
          <w:color w:val="000000"/>
          <w:sz w:val="28"/>
          <w:szCs w:val="28"/>
        </w:rPr>
      </w:pPr>
    </w:p>
    <w:p w14:paraId="12C16896" w14:textId="17240920" w:rsidR="00C53E7B" w:rsidRDefault="00C53E7B" w:rsidP="00A51CAF">
      <w:pPr>
        <w:pStyle w:val="Heading2"/>
      </w:pPr>
      <w:r w:rsidRPr="009A2B0E">
        <w:t xml:space="preserve">Program </w:t>
      </w:r>
      <w:r w:rsidRPr="00A51CAF">
        <w:t>Standard</w:t>
      </w:r>
      <w:r w:rsidRPr="009A2B0E">
        <w:t xml:space="preserve"> 1:  Program Design</w:t>
      </w:r>
    </w:p>
    <w:tbl>
      <w:tblPr>
        <w:tblStyle w:val="TableGrid"/>
        <w:tblW w:w="0" w:type="auto"/>
        <w:tblLook w:val="00A0" w:firstRow="1" w:lastRow="0" w:firstColumn="1" w:lastColumn="0" w:noHBand="0" w:noVBand="0"/>
      </w:tblPr>
      <w:tblGrid>
        <w:gridCol w:w="2955"/>
        <w:gridCol w:w="7036"/>
        <w:gridCol w:w="2959"/>
      </w:tblGrid>
      <w:tr w:rsidR="001043C0" w:rsidRPr="00405694" w14:paraId="3092C2C2" w14:textId="77777777" w:rsidTr="00FC3A1D">
        <w:trPr>
          <w:cantSplit/>
          <w:tblHeader/>
        </w:trPr>
        <w:tc>
          <w:tcPr>
            <w:tcW w:w="2955" w:type="dxa"/>
          </w:tcPr>
          <w:p w14:paraId="4E9FB65B" w14:textId="77777777" w:rsidR="001043C0" w:rsidRPr="00405694" w:rsidRDefault="001043C0" w:rsidP="001043C0">
            <w:pPr>
              <w:jc w:val="center"/>
              <w:rPr>
                <w:rFonts w:ascii="Arial" w:hAnsi="Arial"/>
                <w:b/>
              </w:rPr>
            </w:pPr>
            <w:r w:rsidRPr="00405694">
              <w:rPr>
                <w:rFonts w:ascii="Arial" w:hAnsi="Arial"/>
                <w:b/>
              </w:rPr>
              <w:t>Standard</w:t>
            </w:r>
          </w:p>
        </w:tc>
        <w:tc>
          <w:tcPr>
            <w:tcW w:w="7036" w:type="dxa"/>
          </w:tcPr>
          <w:p w14:paraId="60239E1E" w14:textId="77777777" w:rsidR="001043C0" w:rsidRPr="00405694" w:rsidRDefault="001043C0" w:rsidP="001043C0">
            <w:pPr>
              <w:jc w:val="center"/>
              <w:rPr>
                <w:rFonts w:ascii="Arial" w:hAnsi="Arial"/>
                <w:b/>
              </w:rPr>
            </w:pPr>
            <w:r w:rsidRPr="00405694">
              <w:rPr>
                <w:rFonts w:ascii="Arial" w:hAnsi="Arial"/>
                <w:b/>
              </w:rPr>
              <w:t>Narrative Response</w:t>
            </w:r>
          </w:p>
        </w:tc>
        <w:tc>
          <w:tcPr>
            <w:tcW w:w="2959" w:type="dxa"/>
          </w:tcPr>
          <w:p w14:paraId="5175D5AA" w14:textId="77777777" w:rsidR="001043C0" w:rsidRPr="00405694" w:rsidRDefault="001043C0" w:rsidP="001043C0">
            <w:pPr>
              <w:jc w:val="center"/>
              <w:rPr>
                <w:rFonts w:ascii="Arial" w:hAnsi="Arial"/>
                <w:b/>
              </w:rPr>
            </w:pPr>
            <w:r w:rsidRPr="00405694">
              <w:rPr>
                <w:rFonts w:ascii="Arial" w:hAnsi="Arial"/>
                <w:b/>
              </w:rPr>
              <w:t>Documentation</w:t>
            </w:r>
          </w:p>
        </w:tc>
      </w:tr>
      <w:tr w:rsidR="001043C0" w:rsidRPr="0055278E" w14:paraId="6B224F6C" w14:textId="77777777" w:rsidTr="00FC3A1D">
        <w:trPr>
          <w:cantSplit/>
        </w:trPr>
        <w:tc>
          <w:tcPr>
            <w:tcW w:w="2955" w:type="dxa"/>
          </w:tcPr>
          <w:p w14:paraId="09466AD1" w14:textId="77777777" w:rsidR="001043C0" w:rsidRPr="0055278E" w:rsidRDefault="00A535BD" w:rsidP="00A535BD">
            <w:pPr>
              <w:autoSpaceDE w:val="0"/>
              <w:autoSpaceDN w:val="0"/>
              <w:adjustRightInd w:val="0"/>
              <w:rPr>
                <w:rFonts w:ascii="Arial" w:hAnsi="Arial" w:cs="Arial"/>
              </w:rPr>
            </w:pPr>
            <w:r w:rsidRPr="0055278E">
              <w:rPr>
                <w:rFonts w:ascii="Arial" w:hAnsi="Arial" w:cs="Arial"/>
              </w:rPr>
              <w:t>The design of the professional bilingual teacher preparation program follows from an explicit statement of program philosophy and purpose and is coordinated effectively in accordance with a cohesive design that has a cogent rationale.</w:t>
            </w:r>
          </w:p>
        </w:tc>
        <w:tc>
          <w:tcPr>
            <w:tcW w:w="7036" w:type="dxa"/>
          </w:tcPr>
          <w:p w14:paraId="6D7C7B56" w14:textId="77777777" w:rsidR="001043C0" w:rsidRPr="0055278E" w:rsidRDefault="001043C0" w:rsidP="001043C0">
            <w:pPr>
              <w:jc w:val="center"/>
              <w:rPr>
                <w:rFonts w:ascii="Arial" w:hAnsi="Arial" w:cs="Arial"/>
                <w:b/>
              </w:rPr>
            </w:pPr>
          </w:p>
        </w:tc>
        <w:tc>
          <w:tcPr>
            <w:tcW w:w="2959" w:type="dxa"/>
          </w:tcPr>
          <w:p w14:paraId="5B9480E9" w14:textId="77777777" w:rsidR="001043C0" w:rsidRPr="0055278E" w:rsidRDefault="001043C0" w:rsidP="001043C0">
            <w:pPr>
              <w:jc w:val="center"/>
              <w:rPr>
                <w:rFonts w:ascii="Arial" w:hAnsi="Arial" w:cs="Arial"/>
                <w:b/>
              </w:rPr>
            </w:pPr>
          </w:p>
        </w:tc>
      </w:tr>
      <w:tr w:rsidR="001043C0" w:rsidRPr="0055278E" w14:paraId="1FD2AE5A" w14:textId="77777777" w:rsidTr="00FC3A1D">
        <w:trPr>
          <w:cantSplit/>
        </w:trPr>
        <w:tc>
          <w:tcPr>
            <w:tcW w:w="2955" w:type="dxa"/>
          </w:tcPr>
          <w:p w14:paraId="1E4DC7D7"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The program philosophy articulates a clear</w:t>
            </w:r>
          </w:p>
          <w:p w14:paraId="28F84246"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understanding of the instructional needs of learners in bilingual settings. The sponsoring</w:t>
            </w:r>
          </w:p>
          <w:p w14:paraId="57132FA0"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institution shows a high priority to the program by providing appropriate support for the program</w:t>
            </w:r>
          </w:p>
          <w:p w14:paraId="1616EFCF" w14:textId="77777777" w:rsidR="001043C0" w:rsidRPr="0055278E" w:rsidRDefault="00C53E7B" w:rsidP="00C53E7B">
            <w:pPr>
              <w:rPr>
                <w:rFonts w:ascii="Arial" w:hAnsi="Arial" w:cs="Arial"/>
              </w:rPr>
            </w:pPr>
            <w:r w:rsidRPr="0055278E">
              <w:rPr>
                <w:rFonts w:ascii="Arial" w:hAnsi="Arial" w:cs="Arial"/>
              </w:rPr>
              <w:t>and a demonstrated commitment to teacher preparation and to bilingual education.</w:t>
            </w:r>
          </w:p>
        </w:tc>
        <w:tc>
          <w:tcPr>
            <w:tcW w:w="7036" w:type="dxa"/>
          </w:tcPr>
          <w:p w14:paraId="08FA9425" w14:textId="77777777" w:rsidR="001043C0" w:rsidRPr="0055278E" w:rsidRDefault="001043C0" w:rsidP="001043C0">
            <w:pPr>
              <w:jc w:val="center"/>
              <w:rPr>
                <w:rFonts w:ascii="Arial" w:hAnsi="Arial" w:cs="Arial"/>
                <w:b/>
              </w:rPr>
            </w:pPr>
          </w:p>
        </w:tc>
        <w:tc>
          <w:tcPr>
            <w:tcW w:w="2959" w:type="dxa"/>
          </w:tcPr>
          <w:p w14:paraId="10120EE9" w14:textId="77777777" w:rsidR="001043C0" w:rsidRPr="0055278E" w:rsidRDefault="001043C0" w:rsidP="001043C0">
            <w:pPr>
              <w:jc w:val="center"/>
              <w:rPr>
                <w:rFonts w:ascii="Arial" w:hAnsi="Arial" w:cs="Arial"/>
                <w:b/>
              </w:rPr>
            </w:pPr>
          </w:p>
        </w:tc>
      </w:tr>
      <w:tr w:rsidR="001043C0" w:rsidRPr="0055278E" w14:paraId="3CA2C31F" w14:textId="77777777" w:rsidTr="00FC3A1D">
        <w:trPr>
          <w:cantSplit/>
        </w:trPr>
        <w:tc>
          <w:tcPr>
            <w:tcW w:w="2955" w:type="dxa"/>
          </w:tcPr>
          <w:p w14:paraId="707784E4"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program</w:t>
            </w:r>
          </w:p>
          <w:p w14:paraId="343202A2"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has a leadership team whose members are qualified in the areas of teacher preparation and</w:t>
            </w:r>
          </w:p>
          <w:p w14:paraId="7D9BD897" w14:textId="77777777" w:rsidR="001043C0" w:rsidRPr="0055278E" w:rsidRDefault="00C53E7B" w:rsidP="00C53E7B">
            <w:pPr>
              <w:rPr>
                <w:rFonts w:ascii="Arial" w:hAnsi="Arial" w:cs="Arial"/>
                <w:b/>
              </w:rPr>
            </w:pPr>
            <w:r w:rsidRPr="0055278E">
              <w:rPr>
                <w:rFonts w:ascii="Arial" w:hAnsi="Arial" w:cs="Arial"/>
              </w:rPr>
              <w:t>bilingual instruction.</w:t>
            </w:r>
          </w:p>
        </w:tc>
        <w:tc>
          <w:tcPr>
            <w:tcW w:w="7036" w:type="dxa"/>
          </w:tcPr>
          <w:p w14:paraId="5ED10D98" w14:textId="77777777" w:rsidR="001043C0" w:rsidRPr="0055278E" w:rsidRDefault="001043C0" w:rsidP="001043C0">
            <w:pPr>
              <w:jc w:val="center"/>
              <w:rPr>
                <w:rFonts w:ascii="Arial" w:hAnsi="Arial" w:cs="Arial"/>
                <w:b/>
              </w:rPr>
            </w:pPr>
          </w:p>
        </w:tc>
        <w:tc>
          <w:tcPr>
            <w:tcW w:w="2959" w:type="dxa"/>
          </w:tcPr>
          <w:p w14:paraId="15035A10" w14:textId="77777777" w:rsidR="001043C0" w:rsidRPr="0055278E" w:rsidRDefault="001043C0" w:rsidP="001043C0">
            <w:pPr>
              <w:jc w:val="center"/>
              <w:rPr>
                <w:rFonts w:ascii="Arial" w:hAnsi="Arial" w:cs="Arial"/>
                <w:b/>
              </w:rPr>
            </w:pPr>
          </w:p>
        </w:tc>
      </w:tr>
      <w:tr w:rsidR="001043C0" w:rsidRPr="0055278E" w14:paraId="301E03B6" w14:textId="77777777" w:rsidTr="00FC3A1D">
        <w:trPr>
          <w:cantSplit/>
        </w:trPr>
        <w:tc>
          <w:tcPr>
            <w:tcW w:w="2955" w:type="dxa"/>
          </w:tcPr>
          <w:p w14:paraId="4B2455A7"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The program demonstrates initial and ongoing collaboration with local school districts in order to reflect the needs of teachers serving in bilingual programs at the local and state level. This on-going coordination between the bilingual program and other teacher development programs is designed to strengthen the learning-to-teach continuum for teachers of</w:t>
            </w:r>
          </w:p>
          <w:p w14:paraId="4BF6B5E5" w14:textId="77777777" w:rsidR="001043C0" w:rsidRPr="0055278E" w:rsidRDefault="00C53E7B" w:rsidP="00C53E7B">
            <w:pPr>
              <w:rPr>
                <w:rFonts w:ascii="Arial" w:hAnsi="Arial" w:cs="Arial"/>
              </w:rPr>
            </w:pPr>
            <w:r w:rsidRPr="0055278E">
              <w:rPr>
                <w:rFonts w:ascii="Arial" w:hAnsi="Arial" w:cs="Arial"/>
              </w:rPr>
              <w:t>learners in bilingual classroom.</w:t>
            </w:r>
          </w:p>
        </w:tc>
        <w:tc>
          <w:tcPr>
            <w:tcW w:w="7036" w:type="dxa"/>
          </w:tcPr>
          <w:p w14:paraId="52ACDDF1" w14:textId="77777777" w:rsidR="001043C0" w:rsidRPr="0055278E" w:rsidRDefault="001043C0" w:rsidP="001043C0">
            <w:pPr>
              <w:jc w:val="center"/>
              <w:rPr>
                <w:rFonts w:ascii="Arial" w:hAnsi="Arial" w:cs="Arial"/>
                <w:b/>
              </w:rPr>
            </w:pPr>
          </w:p>
        </w:tc>
        <w:tc>
          <w:tcPr>
            <w:tcW w:w="2959" w:type="dxa"/>
          </w:tcPr>
          <w:p w14:paraId="4CCB58E4" w14:textId="77777777" w:rsidR="001043C0" w:rsidRPr="0055278E" w:rsidRDefault="001043C0" w:rsidP="001043C0">
            <w:pPr>
              <w:jc w:val="center"/>
              <w:rPr>
                <w:rFonts w:ascii="Arial" w:hAnsi="Arial" w:cs="Arial"/>
                <w:b/>
              </w:rPr>
            </w:pPr>
          </w:p>
        </w:tc>
      </w:tr>
      <w:tr w:rsidR="001043C0" w:rsidRPr="0055278E" w14:paraId="55A02B34" w14:textId="77777777" w:rsidTr="00FC3A1D">
        <w:trPr>
          <w:cantSplit/>
        </w:trPr>
        <w:tc>
          <w:tcPr>
            <w:tcW w:w="2955" w:type="dxa"/>
          </w:tcPr>
          <w:p w14:paraId="0A8131A4"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The curriculum is designed around the Knowledge, Skills, and</w:t>
            </w:r>
          </w:p>
          <w:p w14:paraId="195A0FDC"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Abilities (KSAs) for Bilingual Methodology and Culture. It provides candidates with a depth of knowledge regarding current research-based theories and research in academic and content</w:t>
            </w:r>
          </w:p>
          <w:p w14:paraId="2F1F3600"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literacy in two languages, building upon both SB 2042 and California Teachers of English</w:t>
            </w:r>
          </w:p>
          <w:p w14:paraId="5B6777FD" w14:textId="77777777" w:rsidR="001043C0" w:rsidRPr="0055278E" w:rsidRDefault="00C53E7B" w:rsidP="00C53E7B">
            <w:pPr>
              <w:rPr>
                <w:rFonts w:ascii="Arial" w:hAnsi="Arial" w:cs="Arial"/>
                <w:b/>
              </w:rPr>
            </w:pPr>
            <w:r w:rsidRPr="0055278E">
              <w:rPr>
                <w:rFonts w:ascii="Arial" w:hAnsi="Arial" w:cs="Arial"/>
              </w:rPr>
              <w:t xml:space="preserve">Learners (CTEL) </w:t>
            </w:r>
            <w:proofErr w:type="gramStart"/>
            <w:r w:rsidRPr="0055278E">
              <w:rPr>
                <w:rFonts w:ascii="Arial" w:hAnsi="Arial" w:cs="Arial"/>
              </w:rPr>
              <w:t>competencies.</w:t>
            </w:r>
            <w:r w:rsidR="001043C0" w:rsidRPr="0055278E">
              <w:rPr>
                <w:rFonts w:ascii="Arial" w:hAnsi="Arial" w:cs="Arial"/>
                <w:i/>
              </w:rPr>
              <w:t>.</w:t>
            </w:r>
            <w:proofErr w:type="gramEnd"/>
          </w:p>
        </w:tc>
        <w:tc>
          <w:tcPr>
            <w:tcW w:w="7036" w:type="dxa"/>
          </w:tcPr>
          <w:p w14:paraId="2B730485" w14:textId="77777777" w:rsidR="001043C0" w:rsidRPr="0055278E" w:rsidRDefault="001043C0" w:rsidP="001043C0">
            <w:pPr>
              <w:jc w:val="center"/>
              <w:rPr>
                <w:rFonts w:ascii="Arial" w:hAnsi="Arial" w:cs="Arial"/>
                <w:b/>
              </w:rPr>
            </w:pPr>
          </w:p>
        </w:tc>
        <w:tc>
          <w:tcPr>
            <w:tcW w:w="2959" w:type="dxa"/>
          </w:tcPr>
          <w:p w14:paraId="76813376" w14:textId="77777777" w:rsidR="001043C0" w:rsidRPr="0055278E" w:rsidRDefault="001043C0" w:rsidP="001043C0">
            <w:pPr>
              <w:jc w:val="center"/>
              <w:rPr>
                <w:rFonts w:ascii="Arial" w:hAnsi="Arial" w:cs="Arial"/>
                <w:b/>
              </w:rPr>
            </w:pPr>
          </w:p>
        </w:tc>
      </w:tr>
      <w:tr w:rsidR="001043C0" w:rsidRPr="0055278E" w14:paraId="0481D8C2" w14:textId="77777777" w:rsidTr="00FC3A1D">
        <w:trPr>
          <w:cantSplit/>
        </w:trPr>
        <w:tc>
          <w:tcPr>
            <w:tcW w:w="2955" w:type="dxa"/>
          </w:tcPr>
          <w:p w14:paraId="7CA6551C"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program shows candidates how to help learners to access</w:t>
            </w:r>
          </w:p>
          <w:p w14:paraId="141C109B" w14:textId="77777777" w:rsidR="001043C0" w:rsidRPr="0055278E" w:rsidRDefault="00C53E7B" w:rsidP="00C53E7B">
            <w:pPr>
              <w:autoSpaceDE w:val="0"/>
              <w:autoSpaceDN w:val="0"/>
              <w:adjustRightInd w:val="0"/>
              <w:rPr>
                <w:rFonts w:ascii="Arial" w:hAnsi="Arial" w:cs="Arial"/>
                <w:b/>
              </w:rPr>
            </w:pPr>
            <w:r w:rsidRPr="0055278E">
              <w:rPr>
                <w:rFonts w:ascii="Arial" w:hAnsi="Arial" w:cs="Arial"/>
              </w:rPr>
              <w:t>the K-12 grade level content instruction and how to provide benchmarks of English Learners’ progress toward meeting standards as defined in the California Curriculum Frameworks (2006</w:t>
            </w:r>
            <w:proofErr w:type="gramStart"/>
            <w:r w:rsidRPr="0055278E">
              <w:rPr>
                <w:rFonts w:ascii="Arial" w:hAnsi="Arial" w:cs="Arial"/>
              </w:rPr>
              <w:t>).</w:t>
            </w:r>
            <w:r w:rsidR="001043C0" w:rsidRPr="0055278E">
              <w:rPr>
                <w:rFonts w:ascii="Arial" w:hAnsi="Arial" w:cs="Arial"/>
              </w:rPr>
              <w:t>.</w:t>
            </w:r>
            <w:proofErr w:type="gramEnd"/>
          </w:p>
        </w:tc>
        <w:tc>
          <w:tcPr>
            <w:tcW w:w="7036" w:type="dxa"/>
          </w:tcPr>
          <w:p w14:paraId="13B5C07C" w14:textId="77777777" w:rsidR="001043C0" w:rsidRPr="0055278E" w:rsidRDefault="001043C0" w:rsidP="001043C0">
            <w:pPr>
              <w:jc w:val="center"/>
              <w:rPr>
                <w:rFonts w:ascii="Arial" w:hAnsi="Arial" w:cs="Arial"/>
                <w:b/>
              </w:rPr>
            </w:pPr>
          </w:p>
        </w:tc>
        <w:tc>
          <w:tcPr>
            <w:tcW w:w="2959" w:type="dxa"/>
          </w:tcPr>
          <w:p w14:paraId="3EA61509" w14:textId="77777777" w:rsidR="001043C0" w:rsidRPr="0055278E" w:rsidRDefault="001043C0" w:rsidP="001043C0">
            <w:pPr>
              <w:jc w:val="center"/>
              <w:rPr>
                <w:rFonts w:ascii="Arial" w:hAnsi="Arial" w:cs="Arial"/>
                <w:b/>
              </w:rPr>
            </w:pPr>
          </w:p>
        </w:tc>
      </w:tr>
      <w:tr w:rsidR="00C53E7B" w:rsidRPr="0055278E" w14:paraId="311E1721" w14:textId="77777777" w:rsidTr="00FC3A1D">
        <w:trPr>
          <w:cantSplit/>
        </w:trPr>
        <w:tc>
          <w:tcPr>
            <w:tcW w:w="2955" w:type="dxa"/>
          </w:tcPr>
          <w:p w14:paraId="04653FD4"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The design of the program clearly indicates the options for completion of the program in a</w:t>
            </w:r>
          </w:p>
          <w:p w14:paraId="3B4E6814"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concurrent model and/or as a post-credential model.</w:t>
            </w:r>
          </w:p>
        </w:tc>
        <w:tc>
          <w:tcPr>
            <w:tcW w:w="7036" w:type="dxa"/>
          </w:tcPr>
          <w:p w14:paraId="49FBACB8" w14:textId="77777777" w:rsidR="00C53E7B" w:rsidRPr="0055278E" w:rsidRDefault="00C53E7B" w:rsidP="001043C0">
            <w:pPr>
              <w:jc w:val="center"/>
              <w:rPr>
                <w:rFonts w:ascii="Arial" w:hAnsi="Arial" w:cs="Arial"/>
                <w:b/>
              </w:rPr>
            </w:pPr>
          </w:p>
        </w:tc>
        <w:tc>
          <w:tcPr>
            <w:tcW w:w="2959" w:type="dxa"/>
          </w:tcPr>
          <w:p w14:paraId="571DE66F" w14:textId="77777777" w:rsidR="00C53E7B" w:rsidRPr="0055278E" w:rsidRDefault="00C53E7B" w:rsidP="001043C0">
            <w:pPr>
              <w:jc w:val="center"/>
              <w:rPr>
                <w:rFonts w:ascii="Arial" w:hAnsi="Arial" w:cs="Arial"/>
                <w:b/>
              </w:rPr>
            </w:pPr>
          </w:p>
        </w:tc>
      </w:tr>
    </w:tbl>
    <w:p w14:paraId="6A6A088E" w14:textId="77777777" w:rsidR="001043C0" w:rsidRPr="0055278E" w:rsidRDefault="001043C0" w:rsidP="001043C0">
      <w:pPr>
        <w:jc w:val="center"/>
        <w:rPr>
          <w:rFonts w:ascii="Arial" w:hAnsi="Arial" w:cs="Arial"/>
          <w:b/>
        </w:rPr>
      </w:pPr>
    </w:p>
    <w:p w14:paraId="00D718F0" w14:textId="77777777" w:rsidR="001043C0" w:rsidRPr="0055278E" w:rsidRDefault="001043C0" w:rsidP="00A51CAF">
      <w:pPr>
        <w:pStyle w:val="Heading2"/>
      </w:pPr>
      <w:r w:rsidRPr="0055278E">
        <w:t xml:space="preserve"> Program </w:t>
      </w:r>
      <w:r w:rsidRPr="00A51CAF">
        <w:t>Standard</w:t>
      </w:r>
      <w:r w:rsidRPr="0055278E">
        <w:t xml:space="preserve"> 2:  </w:t>
      </w:r>
      <w:r w:rsidR="00C53E7B" w:rsidRPr="0055278E">
        <w:t>Assessment of Candidate Competence</w:t>
      </w:r>
    </w:p>
    <w:tbl>
      <w:tblPr>
        <w:tblStyle w:val="TableGrid"/>
        <w:tblW w:w="0" w:type="auto"/>
        <w:tblLook w:val="00A0" w:firstRow="1" w:lastRow="0" w:firstColumn="1" w:lastColumn="0" w:noHBand="0" w:noVBand="0"/>
      </w:tblPr>
      <w:tblGrid>
        <w:gridCol w:w="2955"/>
        <w:gridCol w:w="7036"/>
        <w:gridCol w:w="2959"/>
      </w:tblGrid>
      <w:tr w:rsidR="001043C0" w:rsidRPr="0055278E" w14:paraId="4E93CD48" w14:textId="77777777" w:rsidTr="006E12E9">
        <w:trPr>
          <w:cantSplit/>
          <w:tblHeader/>
        </w:trPr>
        <w:tc>
          <w:tcPr>
            <w:tcW w:w="2988" w:type="dxa"/>
          </w:tcPr>
          <w:p w14:paraId="56E4717F" w14:textId="77777777" w:rsidR="001043C0" w:rsidRPr="0055278E" w:rsidRDefault="001043C0" w:rsidP="001043C0">
            <w:pPr>
              <w:jc w:val="center"/>
              <w:rPr>
                <w:rFonts w:ascii="Arial" w:hAnsi="Arial" w:cs="Arial"/>
                <w:b/>
              </w:rPr>
            </w:pPr>
            <w:r w:rsidRPr="0055278E">
              <w:rPr>
                <w:rFonts w:ascii="Arial" w:hAnsi="Arial" w:cs="Arial"/>
                <w:b/>
              </w:rPr>
              <w:t>Standard</w:t>
            </w:r>
          </w:p>
        </w:tc>
        <w:tc>
          <w:tcPr>
            <w:tcW w:w="7200" w:type="dxa"/>
          </w:tcPr>
          <w:p w14:paraId="14E30BD4" w14:textId="77777777" w:rsidR="001043C0" w:rsidRPr="0055278E" w:rsidRDefault="001043C0" w:rsidP="001043C0">
            <w:pPr>
              <w:jc w:val="center"/>
              <w:rPr>
                <w:rFonts w:ascii="Arial" w:hAnsi="Arial" w:cs="Arial"/>
                <w:b/>
              </w:rPr>
            </w:pPr>
            <w:r w:rsidRPr="0055278E">
              <w:rPr>
                <w:rFonts w:ascii="Arial" w:hAnsi="Arial" w:cs="Arial"/>
                <w:b/>
              </w:rPr>
              <w:t>Narrative Response</w:t>
            </w:r>
          </w:p>
        </w:tc>
        <w:tc>
          <w:tcPr>
            <w:tcW w:w="2988" w:type="dxa"/>
          </w:tcPr>
          <w:p w14:paraId="6549782A" w14:textId="77777777" w:rsidR="001043C0" w:rsidRPr="0055278E" w:rsidRDefault="001043C0" w:rsidP="001043C0">
            <w:pPr>
              <w:jc w:val="center"/>
              <w:rPr>
                <w:rFonts w:ascii="Arial" w:hAnsi="Arial" w:cs="Arial"/>
                <w:b/>
              </w:rPr>
            </w:pPr>
            <w:r w:rsidRPr="0055278E">
              <w:rPr>
                <w:rFonts w:ascii="Arial" w:hAnsi="Arial" w:cs="Arial"/>
                <w:b/>
              </w:rPr>
              <w:t>Documentation</w:t>
            </w:r>
          </w:p>
        </w:tc>
      </w:tr>
      <w:tr w:rsidR="001043C0" w:rsidRPr="0055278E" w14:paraId="6563F10C" w14:textId="77777777" w:rsidTr="006E12E9">
        <w:trPr>
          <w:cantSplit/>
        </w:trPr>
        <w:tc>
          <w:tcPr>
            <w:tcW w:w="2988" w:type="dxa"/>
          </w:tcPr>
          <w:p w14:paraId="17371DD3"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Prior to recommending each candidate for a bilingual authorization, one or more persons</w:t>
            </w:r>
          </w:p>
          <w:p w14:paraId="387FD2E3"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 xml:space="preserve">responsible for the program determine </w:t>
            </w:r>
            <w:proofErr w:type="gramStart"/>
            <w:r w:rsidRPr="0055278E">
              <w:rPr>
                <w:rFonts w:ascii="Arial" w:hAnsi="Arial" w:cs="Arial"/>
              </w:rPr>
              <w:t>on the basis of</w:t>
            </w:r>
            <w:proofErr w:type="gramEnd"/>
            <w:r w:rsidRPr="0055278E">
              <w:rPr>
                <w:rFonts w:ascii="Arial" w:hAnsi="Arial" w:cs="Arial"/>
              </w:rPr>
              <w:t xml:space="preserve"> thoroughly documented evidence that each candidate has demonstrated a satisfactory performance on the full range of program standards</w:t>
            </w:r>
          </w:p>
          <w:p w14:paraId="1ACA20E3" w14:textId="77777777" w:rsidR="001043C0" w:rsidRPr="0055278E" w:rsidRDefault="00C53E7B" w:rsidP="00C53E7B">
            <w:pPr>
              <w:rPr>
                <w:rFonts w:ascii="Arial" w:hAnsi="Arial" w:cs="Arial"/>
              </w:rPr>
            </w:pPr>
            <w:r w:rsidRPr="0055278E">
              <w:rPr>
                <w:rFonts w:ascii="Arial" w:hAnsi="Arial" w:cs="Arial"/>
              </w:rPr>
              <w:t>including language proficiency as they apply to bilingual authorization.</w:t>
            </w:r>
          </w:p>
        </w:tc>
        <w:tc>
          <w:tcPr>
            <w:tcW w:w="7200" w:type="dxa"/>
          </w:tcPr>
          <w:p w14:paraId="575C76CF" w14:textId="77777777" w:rsidR="001043C0" w:rsidRPr="0055278E" w:rsidRDefault="001043C0" w:rsidP="001043C0">
            <w:pPr>
              <w:jc w:val="center"/>
              <w:rPr>
                <w:rFonts w:ascii="Arial" w:hAnsi="Arial" w:cs="Arial"/>
                <w:b/>
              </w:rPr>
            </w:pPr>
          </w:p>
        </w:tc>
        <w:tc>
          <w:tcPr>
            <w:tcW w:w="2988" w:type="dxa"/>
          </w:tcPr>
          <w:p w14:paraId="1146D4F2" w14:textId="77777777" w:rsidR="001043C0" w:rsidRPr="0055278E" w:rsidRDefault="001043C0" w:rsidP="001043C0">
            <w:pPr>
              <w:jc w:val="center"/>
              <w:rPr>
                <w:rFonts w:ascii="Arial" w:hAnsi="Arial" w:cs="Arial"/>
                <w:b/>
              </w:rPr>
            </w:pPr>
          </w:p>
        </w:tc>
      </w:tr>
      <w:tr w:rsidR="001043C0" w:rsidRPr="0055278E" w14:paraId="62610F7E" w14:textId="77777777" w:rsidTr="006E12E9">
        <w:trPr>
          <w:cantSplit/>
        </w:trPr>
        <w:tc>
          <w:tcPr>
            <w:tcW w:w="2988" w:type="dxa"/>
          </w:tcPr>
          <w:p w14:paraId="46234ED9"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During the program,</w:t>
            </w:r>
          </w:p>
          <w:p w14:paraId="5394AD7A" w14:textId="77777777" w:rsidR="001043C0" w:rsidRPr="0055278E" w:rsidRDefault="00C53E7B" w:rsidP="00C53E7B">
            <w:pPr>
              <w:autoSpaceDE w:val="0"/>
              <w:autoSpaceDN w:val="0"/>
              <w:adjustRightInd w:val="0"/>
              <w:rPr>
                <w:rFonts w:ascii="Arial" w:hAnsi="Arial" w:cs="Arial"/>
                <w:b/>
              </w:rPr>
            </w:pPr>
            <w:r w:rsidRPr="0055278E">
              <w:rPr>
                <w:rFonts w:ascii="Arial" w:hAnsi="Arial" w:cs="Arial"/>
              </w:rPr>
              <w:t>candidates are guided and coached on their performance in bilingual instruction using formative assessment processes.</w:t>
            </w:r>
          </w:p>
        </w:tc>
        <w:tc>
          <w:tcPr>
            <w:tcW w:w="7200" w:type="dxa"/>
          </w:tcPr>
          <w:p w14:paraId="09D00893" w14:textId="77777777" w:rsidR="001043C0" w:rsidRPr="0055278E" w:rsidRDefault="001043C0" w:rsidP="001043C0">
            <w:pPr>
              <w:jc w:val="center"/>
              <w:rPr>
                <w:rFonts w:ascii="Arial" w:hAnsi="Arial" w:cs="Arial"/>
                <w:b/>
              </w:rPr>
            </w:pPr>
          </w:p>
        </w:tc>
        <w:tc>
          <w:tcPr>
            <w:tcW w:w="2988" w:type="dxa"/>
          </w:tcPr>
          <w:p w14:paraId="0CE5AE6C" w14:textId="77777777" w:rsidR="001043C0" w:rsidRPr="0055278E" w:rsidRDefault="001043C0" w:rsidP="001043C0">
            <w:pPr>
              <w:jc w:val="center"/>
              <w:rPr>
                <w:rFonts w:ascii="Arial" w:hAnsi="Arial" w:cs="Arial"/>
                <w:b/>
              </w:rPr>
            </w:pPr>
          </w:p>
        </w:tc>
      </w:tr>
      <w:tr w:rsidR="001043C0" w:rsidRPr="0055278E" w14:paraId="77F75800" w14:textId="77777777" w:rsidTr="006E12E9">
        <w:trPr>
          <w:cantSplit/>
        </w:trPr>
        <w:tc>
          <w:tcPr>
            <w:tcW w:w="2988" w:type="dxa"/>
          </w:tcPr>
          <w:p w14:paraId="409C3FB2"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Verification of candidate’s performance is provided by both institutional</w:t>
            </w:r>
          </w:p>
          <w:p w14:paraId="45447138" w14:textId="77777777" w:rsidR="001043C0" w:rsidRPr="0055278E" w:rsidRDefault="00C53E7B" w:rsidP="00C53E7B">
            <w:pPr>
              <w:rPr>
                <w:rFonts w:ascii="Arial" w:hAnsi="Arial" w:cs="Arial"/>
                <w:b/>
                <w:color w:val="0000FF"/>
              </w:rPr>
            </w:pPr>
            <w:r w:rsidRPr="0055278E">
              <w:rPr>
                <w:rFonts w:ascii="Arial" w:hAnsi="Arial" w:cs="Arial"/>
              </w:rPr>
              <w:t>and field-based individuals with bilingual expertise and/or possessing bilingual authorization.</w:t>
            </w:r>
          </w:p>
        </w:tc>
        <w:tc>
          <w:tcPr>
            <w:tcW w:w="7200" w:type="dxa"/>
          </w:tcPr>
          <w:p w14:paraId="6DB85E36" w14:textId="77777777" w:rsidR="001043C0" w:rsidRPr="0055278E" w:rsidRDefault="001043C0" w:rsidP="001043C0">
            <w:pPr>
              <w:jc w:val="center"/>
              <w:rPr>
                <w:rFonts w:ascii="Arial" w:hAnsi="Arial" w:cs="Arial"/>
                <w:b/>
              </w:rPr>
            </w:pPr>
          </w:p>
        </w:tc>
        <w:tc>
          <w:tcPr>
            <w:tcW w:w="2988" w:type="dxa"/>
          </w:tcPr>
          <w:p w14:paraId="55033AE5" w14:textId="77777777" w:rsidR="001043C0" w:rsidRPr="0055278E" w:rsidRDefault="001043C0" w:rsidP="001043C0">
            <w:pPr>
              <w:jc w:val="center"/>
              <w:rPr>
                <w:rFonts w:ascii="Arial" w:hAnsi="Arial" w:cs="Arial"/>
                <w:b/>
              </w:rPr>
            </w:pPr>
          </w:p>
        </w:tc>
      </w:tr>
    </w:tbl>
    <w:p w14:paraId="5FD63995" w14:textId="77777777" w:rsidR="00FC3A1D" w:rsidRDefault="00FC3A1D">
      <w:pPr>
        <w:rPr>
          <w:rFonts w:ascii="Arial" w:eastAsiaTheme="majorEastAsia" w:hAnsi="Arial" w:cstheme="majorBidi"/>
          <w:b/>
          <w:bCs/>
          <w:kern w:val="32"/>
          <w:szCs w:val="32"/>
        </w:rPr>
      </w:pPr>
      <w:r>
        <w:br w:type="page"/>
      </w:r>
    </w:p>
    <w:p w14:paraId="52FF48F1" w14:textId="6C003AA2" w:rsidR="001043C0" w:rsidRPr="0055278E" w:rsidRDefault="001043C0" w:rsidP="00FC3A1D">
      <w:pPr>
        <w:pStyle w:val="Heading2"/>
      </w:pPr>
      <w:r w:rsidRPr="0055278E">
        <w:lastRenderedPageBreak/>
        <w:t xml:space="preserve">Program Standard 3:  </w:t>
      </w:r>
      <w:r w:rsidR="00C53E7B" w:rsidRPr="0055278E">
        <w:t>The Context for Bilingual Education and Bilingualism</w:t>
      </w:r>
    </w:p>
    <w:tbl>
      <w:tblPr>
        <w:tblStyle w:val="TableGrid"/>
        <w:tblW w:w="0" w:type="auto"/>
        <w:tblLook w:val="00A0" w:firstRow="1" w:lastRow="0" w:firstColumn="1" w:lastColumn="0" w:noHBand="0" w:noVBand="0"/>
      </w:tblPr>
      <w:tblGrid>
        <w:gridCol w:w="2954"/>
        <w:gridCol w:w="7037"/>
        <w:gridCol w:w="2959"/>
      </w:tblGrid>
      <w:tr w:rsidR="001043C0" w:rsidRPr="0055278E" w14:paraId="67E55931" w14:textId="77777777" w:rsidTr="00FC3A1D">
        <w:trPr>
          <w:cantSplit/>
          <w:tblHeader/>
        </w:trPr>
        <w:tc>
          <w:tcPr>
            <w:tcW w:w="2954" w:type="dxa"/>
          </w:tcPr>
          <w:p w14:paraId="1E770ADA" w14:textId="77777777" w:rsidR="001043C0" w:rsidRPr="0055278E" w:rsidRDefault="001043C0" w:rsidP="001043C0">
            <w:pPr>
              <w:jc w:val="center"/>
              <w:rPr>
                <w:rFonts w:ascii="Arial" w:hAnsi="Arial" w:cs="Arial"/>
                <w:b/>
              </w:rPr>
            </w:pPr>
            <w:r w:rsidRPr="0055278E">
              <w:rPr>
                <w:rFonts w:ascii="Arial" w:hAnsi="Arial" w:cs="Arial"/>
                <w:b/>
              </w:rPr>
              <w:t>Standard</w:t>
            </w:r>
          </w:p>
        </w:tc>
        <w:tc>
          <w:tcPr>
            <w:tcW w:w="7037" w:type="dxa"/>
          </w:tcPr>
          <w:p w14:paraId="57E80C22" w14:textId="77777777" w:rsidR="001043C0" w:rsidRPr="0055278E" w:rsidRDefault="001043C0" w:rsidP="001043C0">
            <w:pPr>
              <w:jc w:val="center"/>
              <w:rPr>
                <w:rFonts w:ascii="Arial" w:hAnsi="Arial" w:cs="Arial"/>
                <w:b/>
              </w:rPr>
            </w:pPr>
            <w:r w:rsidRPr="0055278E">
              <w:rPr>
                <w:rFonts w:ascii="Arial" w:hAnsi="Arial" w:cs="Arial"/>
                <w:b/>
              </w:rPr>
              <w:t>Narrative Response</w:t>
            </w:r>
          </w:p>
        </w:tc>
        <w:tc>
          <w:tcPr>
            <w:tcW w:w="2959" w:type="dxa"/>
          </w:tcPr>
          <w:p w14:paraId="7C26645E" w14:textId="77777777" w:rsidR="001043C0" w:rsidRPr="0055278E" w:rsidRDefault="001043C0" w:rsidP="001043C0">
            <w:pPr>
              <w:jc w:val="center"/>
              <w:rPr>
                <w:rFonts w:ascii="Arial" w:hAnsi="Arial" w:cs="Arial"/>
                <w:b/>
              </w:rPr>
            </w:pPr>
            <w:r w:rsidRPr="0055278E">
              <w:rPr>
                <w:rFonts w:ascii="Arial" w:hAnsi="Arial" w:cs="Arial"/>
                <w:b/>
              </w:rPr>
              <w:t>Documentation</w:t>
            </w:r>
          </w:p>
        </w:tc>
      </w:tr>
      <w:tr w:rsidR="001043C0" w:rsidRPr="0055278E" w14:paraId="27A22D7B" w14:textId="77777777" w:rsidTr="00FC3A1D">
        <w:trPr>
          <w:cantSplit/>
          <w:tblHeader/>
        </w:trPr>
        <w:tc>
          <w:tcPr>
            <w:tcW w:w="2954" w:type="dxa"/>
          </w:tcPr>
          <w:p w14:paraId="649B8E21"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professional bilingual teacher preparation program provides candidates with knowledge of</w:t>
            </w:r>
          </w:p>
          <w:p w14:paraId="3EA88651"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history, policies, programs, and research on the effectiveness of bilingual education and</w:t>
            </w:r>
          </w:p>
          <w:p w14:paraId="6235B4B4" w14:textId="77777777" w:rsidR="001043C0" w:rsidRPr="0055278E" w:rsidRDefault="00C53E7B" w:rsidP="00C53E7B">
            <w:pPr>
              <w:rPr>
                <w:rFonts w:ascii="Arial" w:hAnsi="Arial" w:cs="Arial"/>
              </w:rPr>
            </w:pPr>
            <w:r w:rsidRPr="0055278E">
              <w:rPr>
                <w:rFonts w:ascii="Arial" w:hAnsi="Arial" w:cs="Arial"/>
              </w:rPr>
              <w:t>bilingualism in the United States.</w:t>
            </w:r>
          </w:p>
        </w:tc>
        <w:tc>
          <w:tcPr>
            <w:tcW w:w="7037" w:type="dxa"/>
          </w:tcPr>
          <w:p w14:paraId="41625115" w14:textId="77777777" w:rsidR="001043C0" w:rsidRPr="0055278E" w:rsidRDefault="001043C0" w:rsidP="001043C0">
            <w:pPr>
              <w:jc w:val="center"/>
              <w:rPr>
                <w:rFonts w:ascii="Arial" w:hAnsi="Arial" w:cs="Arial"/>
                <w:b/>
              </w:rPr>
            </w:pPr>
          </w:p>
        </w:tc>
        <w:tc>
          <w:tcPr>
            <w:tcW w:w="2959" w:type="dxa"/>
          </w:tcPr>
          <w:p w14:paraId="73CD577C" w14:textId="77777777" w:rsidR="001043C0" w:rsidRPr="0055278E" w:rsidRDefault="001043C0" w:rsidP="001043C0">
            <w:pPr>
              <w:jc w:val="center"/>
              <w:rPr>
                <w:rFonts w:ascii="Arial" w:hAnsi="Arial" w:cs="Arial"/>
                <w:b/>
              </w:rPr>
            </w:pPr>
          </w:p>
        </w:tc>
      </w:tr>
      <w:tr w:rsidR="001043C0" w:rsidRPr="0055278E" w14:paraId="2BA52AC1" w14:textId="77777777" w:rsidTr="00FC3A1D">
        <w:trPr>
          <w:cantSplit/>
        </w:trPr>
        <w:tc>
          <w:tcPr>
            <w:tcW w:w="2954" w:type="dxa"/>
          </w:tcPr>
          <w:p w14:paraId="13B77DDC"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program develops candidates who demonstrate</w:t>
            </w:r>
          </w:p>
          <w:p w14:paraId="016420EA"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understanding of the philosophical, theoretical, legal and legislative foundations of bilingual</w:t>
            </w:r>
          </w:p>
          <w:p w14:paraId="794F6920" w14:textId="77777777" w:rsidR="001043C0" w:rsidRPr="0055278E" w:rsidRDefault="00C53E7B" w:rsidP="00C53E7B">
            <w:pPr>
              <w:rPr>
                <w:rFonts w:ascii="Arial" w:hAnsi="Arial" w:cs="Arial"/>
              </w:rPr>
            </w:pPr>
            <w:r w:rsidRPr="0055278E">
              <w:rPr>
                <w:rFonts w:ascii="Arial" w:hAnsi="Arial" w:cs="Arial"/>
              </w:rPr>
              <w:t>education and their effects on program design and educational achievement.</w:t>
            </w:r>
          </w:p>
        </w:tc>
        <w:tc>
          <w:tcPr>
            <w:tcW w:w="7037" w:type="dxa"/>
          </w:tcPr>
          <w:p w14:paraId="7680F2B3" w14:textId="77777777" w:rsidR="001043C0" w:rsidRPr="0055278E" w:rsidRDefault="001043C0" w:rsidP="001043C0">
            <w:pPr>
              <w:jc w:val="center"/>
              <w:rPr>
                <w:rFonts w:ascii="Arial" w:hAnsi="Arial" w:cs="Arial"/>
                <w:b/>
              </w:rPr>
            </w:pPr>
          </w:p>
        </w:tc>
        <w:tc>
          <w:tcPr>
            <w:tcW w:w="2959" w:type="dxa"/>
          </w:tcPr>
          <w:p w14:paraId="4BEBAEFE" w14:textId="77777777" w:rsidR="001043C0" w:rsidRPr="0055278E" w:rsidRDefault="001043C0" w:rsidP="001043C0">
            <w:pPr>
              <w:jc w:val="center"/>
              <w:rPr>
                <w:rFonts w:ascii="Arial" w:hAnsi="Arial" w:cs="Arial"/>
                <w:b/>
              </w:rPr>
            </w:pPr>
          </w:p>
        </w:tc>
      </w:tr>
      <w:tr w:rsidR="001043C0" w:rsidRPr="0055278E" w14:paraId="50858275" w14:textId="77777777" w:rsidTr="00FC3A1D">
        <w:trPr>
          <w:cantSplit/>
        </w:trPr>
        <w:tc>
          <w:tcPr>
            <w:tcW w:w="2954" w:type="dxa"/>
          </w:tcPr>
          <w:p w14:paraId="7A65F7D7"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Candidates apply knowledge of the research on the cognitive effects of bilingualism and</w:t>
            </w:r>
          </w:p>
          <w:p w14:paraId="34E1E91E" w14:textId="77777777" w:rsidR="001043C0" w:rsidRPr="0055278E" w:rsidRDefault="00C53E7B" w:rsidP="00C53E7B">
            <w:pPr>
              <w:rPr>
                <w:rFonts w:ascii="Arial" w:hAnsi="Arial" w:cs="Arial"/>
                <w:b/>
              </w:rPr>
            </w:pPr>
            <w:r w:rsidRPr="0055278E">
              <w:rPr>
                <w:rFonts w:ascii="Arial" w:hAnsi="Arial" w:cs="Arial"/>
              </w:rPr>
              <w:t xml:space="preserve">biliteracy </w:t>
            </w:r>
            <w:proofErr w:type="gramStart"/>
            <w:r w:rsidRPr="0055278E">
              <w:rPr>
                <w:rFonts w:ascii="Arial" w:hAnsi="Arial" w:cs="Arial"/>
              </w:rPr>
              <w:t>as  developmental</w:t>
            </w:r>
            <w:proofErr w:type="gramEnd"/>
            <w:r w:rsidRPr="0055278E">
              <w:rPr>
                <w:rFonts w:ascii="Arial" w:hAnsi="Arial" w:cs="Arial"/>
              </w:rPr>
              <w:t xml:space="preserve"> processes in instructional practice.</w:t>
            </w:r>
          </w:p>
        </w:tc>
        <w:tc>
          <w:tcPr>
            <w:tcW w:w="7037" w:type="dxa"/>
          </w:tcPr>
          <w:p w14:paraId="59B90108" w14:textId="77777777" w:rsidR="001043C0" w:rsidRPr="0055278E" w:rsidRDefault="001043C0" w:rsidP="001043C0">
            <w:pPr>
              <w:jc w:val="center"/>
              <w:rPr>
                <w:rFonts w:ascii="Arial" w:hAnsi="Arial" w:cs="Arial"/>
                <w:b/>
              </w:rPr>
            </w:pPr>
          </w:p>
        </w:tc>
        <w:tc>
          <w:tcPr>
            <w:tcW w:w="2959" w:type="dxa"/>
          </w:tcPr>
          <w:p w14:paraId="296987A5" w14:textId="77777777" w:rsidR="001043C0" w:rsidRPr="0055278E" w:rsidRDefault="001043C0" w:rsidP="001043C0">
            <w:pPr>
              <w:jc w:val="center"/>
              <w:rPr>
                <w:rFonts w:ascii="Arial" w:hAnsi="Arial" w:cs="Arial"/>
                <w:b/>
              </w:rPr>
            </w:pPr>
          </w:p>
        </w:tc>
      </w:tr>
      <w:tr w:rsidR="001043C0" w:rsidRPr="0055278E" w14:paraId="53CF667F" w14:textId="77777777" w:rsidTr="00FC3A1D">
        <w:trPr>
          <w:cantSplit/>
        </w:trPr>
        <w:tc>
          <w:tcPr>
            <w:tcW w:w="2954" w:type="dxa"/>
          </w:tcPr>
          <w:p w14:paraId="2CEAA137" w14:textId="77777777" w:rsidR="001043C0" w:rsidRPr="0055278E" w:rsidRDefault="00C53E7B" w:rsidP="00C53E7B">
            <w:pPr>
              <w:autoSpaceDE w:val="0"/>
              <w:autoSpaceDN w:val="0"/>
              <w:adjustRightInd w:val="0"/>
              <w:rPr>
                <w:rFonts w:ascii="Arial" w:hAnsi="Arial" w:cs="Arial"/>
                <w:b/>
              </w:rPr>
            </w:pPr>
            <w:r w:rsidRPr="0055278E">
              <w:rPr>
                <w:rFonts w:ascii="Arial" w:hAnsi="Arial" w:cs="Arial"/>
              </w:rPr>
              <w:t>Candidates understand and apply research and its effects on the dimensions of learning in bilingual education program models.</w:t>
            </w:r>
          </w:p>
        </w:tc>
        <w:tc>
          <w:tcPr>
            <w:tcW w:w="7037" w:type="dxa"/>
          </w:tcPr>
          <w:p w14:paraId="4037853C" w14:textId="77777777" w:rsidR="001043C0" w:rsidRPr="0055278E" w:rsidRDefault="001043C0" w:rsidP="001043C0">
            <w:pPr>
              <w:jc w:val="center"/>
              <w:rPr>
                <w:rFonts w:ascii="Arial" w:hAnsi="Arial" w:cs="Arial"/>
                <w:b/>
              </w:rPr>
            </w:pPr>
          </w:p>
        </w:tc>
        <w:tc>
          <w:tcPr>
            <w:tcW w:w="2959" w:type="dxa"/>
          </w:tcPr>
          <w:p w14:paraId="2CFF28DD" w14:textId="77777777" w:rsidR="001043C0" w:rsidRPr="0055278E" w:rsidRDefault="001043C0" w:rsidP="001043C0">
            <w:pPr>
              <w:jc w:val="center"/>
              <w:rPr>
                <w:rFonts w:ascii="Arial" w:hAnsi="Arial" w:cs="Arial"/>
                <w:b/>
              </w:rPr>
            </w:pPr>
          </w:p>
        </w:tc>
      </w:tr>
      <w:tr w:rsidR="001043C0" w:rsidRPr="0055278E" w14:paraId="53AFB0A0" w14:textId="77777777" w:rsidTr="00FC3A1D">
        <w:trPr>
          <w:cantSplit/>
        </w:trPr>
        <w:tc>
          <w:tcPr>
            <w:tcW w:w="2954" w:type="dxa"/>
          </w:tcPr>
          <w:p w14:paraId="569C0986"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lastRenderedPageBreak/>
              <w:t>The program prepares candidates’ knowledge of the transferability between primary and target language with the understanding that the level of transferability is affected by the level of</w:t>
            </w:r>
          </w:p>
          <w:p w14:paraId="3B264F65" w14:textId="77777777" w:rsidR="001043C0" w:rsidRPr="0055278E" w:rsidRDefault="00C53E7B" w:rsidP="00C53E7B">
            <w:pPr>
              <w:rPr>
                <w:rFonts w:ascii="Arial" w:hAnsi="Arial" w:cs="Arial"/>
                <w:b/>
              </w:rPr>
            </w:pPr>
            <w:r w:rsidRPr="0055278E">
              <w:rPr>
                <w:rFonts w:ascii="Arial" w:hAnsi="Arial" w:cs="Arial"/>
              </w:rPr>
              <w:t>compatibility and may vary among languages.</w:t>
            </w:r>
          </w:p>
        </w:tc>
        <w:tc>
          <w:tcPr>
            <w:tcW w:w="7037" w:type="dxa"/>
          </w:tcPr>
          <w:p w14:paraId="47C096E1" w14:textId="77777777" w:rsidR="001043C0" w:rsidRPr="0055278E" w:rsidRDefault="001043C0" w:rsidP="001043C0">
            <w:pPr>
              <w:jc w:val="center"/>
              <w:rPr>
                <w:rFonts w:ascii="Arial" w:hAnsi="Arial" w:cs="Arial"/>
                <w:b/>
              </w:rPr>
            </w:pPr>
          </w:p>
        </w:tc>
        <w:tc>
          <w:tcPr>
            <w:tcW w:w="2959" w:type="dxa"/>
          </w:tcPr>
          <w:p w14:paraId="426910A0" w14:textId="77777777" w:rsidR="001043C0" w:rsidRPr="0055278E" w:rsidRDefault="001043C0" w:rsidP="001043C0">
            <w:pPr>
              <w:jc w:val="center"/>
              <w:rPr>
                <w:rFonts w:ascii="Arial" w:hAnsi="Arial" w:cs="Arial"/>
                <w:b/>
              </w:rPr>
            </w:pPr>
          </w:p>
        </w:tc>
      </w:tr>
      <w:tr w:rsidR="001043C0" w:rsidRPr="0055278E" w14:paraId="47C44FDC" w14:textId="77777777" w:rsidTr="00FC3A1D">
        <w:trPr>
          <w:cantSplit/>
        </w:trPr>
        <w:tc>
          <w:tcPr>
            <w:tcW w:w="2954" w:type="dxa"/>
          </w:tcPr>
          <w:p w14:paraId="1617D68D" w14:textId="77777777" w:rsidR="00C53E7B" w:rsidRPr="0055278E" w:rsidRDefault="00C53E7B" w:rsidP="00C53E7B">
            <w:pPr>
              <w:autoSpaceDE w:val="0"/>
              <w:autoSpaceDN w:val="0"/>
              <w:adjustRightInd w:val="0"/>
              <w:rPr>
                <w:rFonts w:ascii="Arial" w:hAnsi="Arial" w:cs="Arial"/>
              </w:rPr>
            </w:pPr>
            <w:r w:rsidRPr="0055278E">
              <w:rPr>
                <w:rFonts w:ascii="Arial" w:hAnsi="Arial" w:cs="Arial"/>
              </w:rPr>
              <w:t>The program prepares candidates to actively promote authentic parental participation that</w:t>
            </w:r>
          </w:p>
          <w:p w14:paraId="2B8E8C55" w14:textId="77777777" w:rsidR="001043C0" w:rsidRPr="0055278E" w:rsidRDefault="00C53E7B" w:rsidP="001551BD">
            <w:pPr>
              <w:autoSpaceDE w:val="0"/>
              <w:autoSpaceDN w:val="0"/>
              <w:adjustRightInd w:val="0"/>
              <w:rPr>
                <w:rFonts w:ascii="Arial" w:hAnsi="Arial" w:cs="Arial"/>
                <w:b/>
              </w:rPr>
            </w:pPr>
            <w:r w:rsidRPr="0055278E">
              <w:rPr>
                <w:rFonts w:ascii="Arial" w:hAnsi="Arial" w:cs="Arial"/>
              </w:rPr>
              <w:t xml:space="preserve">includes learning about school systems, assuming leadership roles and affecting policy. </w:t>
            </w:r>
          </w:p>
        </w:tc>
        <w:tc>
          <w:tcPr>
            <w:tcW w:w="7037" w:type="dxa"/>
          </w:tcPr>
          <w:p w14:paraId="16AA59B2" w14:textId="77777777" w:rsidR="001043C0" w:rsidRPr="0055278E" w:rsidRDefault="001043C0" w:rsidP="001043C0">
            <w:pPr>
              <w:jc w:val="center"/>
              <w:rPr>
                <w:rFonts w:ascii="Arial" w:hAnsi="Arial" w:cs="Arial"/>
                <w:b/>
              </w:rPr>
            </w:pPr>
          </w:p>
        </w:tc>
        <w:tc>
          <w:tcPr>
            <w:tcW w:w="2959" w:type="dxa"/>
          </w:tcPr>
          <w:p w14:paraId="203FB9B6" w14:textId="77777777" w:rsidR="001043C0" w:rsidRPr="0055278E" w:rsidRDefault="001043C0" w:rsidP="001043C0">
            <w:pPr>
              <w:jc w:val="center"/>
              <w:rPr>
                <w:rFonts w:ascii="Arial" w:hAnsi="Arial" w:cs="Arial"/>
                <w:b/>
              </w:rPr>
            </w:pPr>
          </w:p>
        </w:tc>
      </w:tr>
      <w:tr w:rsidR="001043C0" w:rsidRPr="0055278E" w14:paraId="643ED1F7" w14:textId="77777777" w:rsidTr="00FC3A1D">
        <w:trPr>
          <w:cantSplit/>
        </w:trPr>
        <w:tc>
          <w:tcPr>
            <w:tcW w:w="2954" w:type="dxa"/>
          </w:tcPr>
          <w:p w14:paraId="51389578" w14:textId="77777777" w:rsidR="001551BD" w:rsidRPr="0055278E" w:rsidRDefault="001551BD" w:rsidP="001551BD">
            <w:pPr>
              <w:autoSpaceDE w:val="0"/>
              <w:autoSpaceDN w:val="0"/>
              <w:adjustRightInd w:val="0"/>
              <w:rPr>
                <w:rFonts w:ascii="Arial" w:hAnsi="Arial" w:cs="Arial"/>
              </w:rPr>
            </w:pPr>
            <w:r w:rsidRPr="0055278E">
              <w:rPr>
                <w:rFonts w:ascii="Arial" w:hAnsi="Arial" w:cs="Arial"/>
              </w:rPr>
              <w:lastRenderedPageBreak/>
              <w:t>The program promotes candidates’ understanding of the family as a primary language and cultural</w:t>
            </w:r>
          </w:p>
          <w:p w14:paraId="02CB01AD" w14:textId="77777777" w:rsidR="001551BD" w:rsidRPr="0055278E" w:rsidRDefault="001551BD" w:rsidP="001551BD">
            <w:pPr>
              <w:autoSpaceDE w:val="0"/>
              <w:autoSpaceDN w:val="0"/>
              <w:adjustRightInd w:val="0"/>
              <w:rPr>
                <w:rFonts w:ascii="Arial" w:hAnsi="Arial" w:cs="Arial"/>
                <w:b/>
              </w:rPr>
            </w:pPr>
            <w:r w:rsidRPr="0055278E">
              <w:rPr>
                <w:rFonts w:ascii="Arial" w:hAnsi="Arial" w:cs="Arial"/>
              </w:rPr>
              <w:t xml:space="preserve">resource. </w:t>
            </w:r>
          </w:p>
          <w:p w14:paraId="410BFE99" w14:textId="77777777" w:rsidR="001043C0" w:rsidRPr="0055278E" w:rsidRDefault="001043C0" w:rsidP="001551BD">
            <w:pPr>
              <w:rPr>
                <w:rFonts w:ascii="Arial" w:hAnsi="Arial" w:cs="Arial"/>
                <w:b/>
              </w:rPr>
            </w:pPr>
          </w:p>
        </w:tc>
        <w:tc>
          <w:tcPr>
            <w:tcW w:w="7037" w:type="dxa"/>
          </w:tcPr>
          <w:p w14:paraId="043308A2" w14:textId="77777777" w:rsidR="001043C0" w:rsidRPr="0055278E" w:rsidRDefault="001043C0" w:rsidP="001043C0">
            <w:pPr>
              <w:jc w:val="center"/>
              <w:rPr>
                <w:rFonts w:ascii="Arial" w:hAnsi="Arial" w:cs="Arial"/>
                <w:b/>
              </w:rPr>
            </w:pPr>
          </w:p>
        </w:tc>
        <w:tc>
          <w:tcPr>
            <w:tcW w:w="2959" w:type="dxa"/>
          </w:tcPr>
          <w:p w14:paraId="34DED930" w14:textId="77777777" w:rsidR="001043C0" w:rsidRPr="0055278E" w:rsidRDefault="001043C0" w:rsidP="001043C0">
            <w:pPr>
              <w:jc w:val="center"/>
              <w:rPr>
                <w:rFonts w:ascii="Arial" w:hAnsi="Arial" w:cs="Arial"/>
                <w:b/>
              </w:rPr>
            </w:pPr>
          </w:p>
        </w:tc>
      </w:tr>
      <w:tr w:rsidR="001551BD" w:rsidRPr="0055278E" w14:paraId="4B3BCF9B" w14:textId="77777777" w:rsidTr="00FC3A1D">
        <w:trPr>
          <w:cantSplit/>
        </w:trPr>
        <w:tc>
          <w:tcPr>
            <w:tcW w:w="2954" w:type="dxa"/>
          </w:tcPr>
          <w:p w14:paraId="5909CE2A" w14:textId="77777777" w:rsidR="001551BD" w:rsidRPr="0055278E" w:rsidRDefault="001551BD" w:rsidP="001551BD">
            <w:pPr>
              <w:autoSpaceDE w:val="0"/>
              <w:autoSpaceDN w:val="0"/>
              <w:adjustRightInd w:val="0"/>
              <w:rPr>
                <w:rFonts w:ascii="Arial" w:hAnsi="Arial" w:cs="Arial"/>
              </w:rPr>
            </w:pPr>
            <w:r w:rsidRPr="0055278E">
              <w:rPr>
                <w:rFonts w:ascii="Arial" w:hAnsi="Arial" w:cs="Arial"/>
              </w:rPr>
              <w:t>Candidates are cognizant that students’ motivation, participation and achievement are</w:t>
            </w:r>
          </w:p>
          <w:p w14:paraId="68370E80" w14:textId="77777777" w:rsidR="001551BD" w:rsidRPr="0055278E" w:rsidRDefault="001551BD" w:rsidP="001551BD">
            <w:pPr>
              <w:autoSpaceDE w:val="0"/>
              <w:autoSpaceDN w:val="0"/>
              <w:adjustRightInd w:val="0"/>
              <w:rPr>
                <w:rFonts w:ascii="Arial" w:hAnsi="Arial" w:cs="Arial"/>
              </w:rPr>
            </w:pPr>
            <w:r w:rsidRPr="0055278E">
              <w:rPr>
                <w:rFonts w:ascii="Arial" w:hAnsi="Arial" w:cs="Arial"/>
              </w:rPr>
              <w:t>influenced by an intercultural classroom climate and school community.</w:t>
            </w:r>
          </w:p>
        </w:tc>
        <w:tc>
          <w:tcPr>
            <w:tcW w:w="7037" w:type="dxa"/>
          </w:tcPr>
          <w:p w14:paraId="23343E43" w14:textId="77777777" w:rsidR="001551BD" w:rsidRPr="0055278E" w:rsidRDefault="001551BD" w:rsidP="001043C0">
            <w:pPr>
              <w:jc w:val="center"/>
              <w:rPr>
                <w:rFonts w:ascii="Arial" w:hAnsi="Arial" w:cs="Arial"/>
                <w:b/>
              </w:rPr>
            </w:pPr>
          </w:p>
        </w:tc>
        <w:tc>
          <w:tcPr>
            <w:tcW w:w="2959" w:type="dxa"/>
          </w:tcPr>
          <w:p w14:paraId="26454A30" w14:textId="77777777" w:rsidR="001551BD" w:rsidRPr="0055278E" w:rsidRDefault="001551BD" w:rsidP="001043C0">
            <w:pPr>
              <w:jc w:val="center"/>
              <w:rPr>
                <w:rFonts w:ascii="Arial" w:hAnsi="Arial" w:cs="Arial"/>
                <w:b/>
              </w:rPr>
            </w:pPr>
          </w:p>
        </w:tc>
      </w:tr>
    </w:tbl>
    <w:p w14:paraId="03957AA0" w14:textId="77777777" w:rsidR="00FC3A1D" w:rsidRDefault="00FC3A1D">
      <w:pPr>
        <w:rPr>
          <w:rFonts w:ascii="Arial" w:eastAsiaTheme="majorEastAsia" w:hAnsi="Arial" w:cstheme="majorBidi"/>
          <w:b/>
          <w:bCs/>
          <w:kern w:val="32"/>
          <w:szCs w:val="32"/>
        </w:rPr>
      </w:pPr>
      <w:r>
        <w:br w:type="page"/>
      </w:r>
    </w:p>
    <w:p w14:paraId="7C1C77EA" w14:textId="3EA60EE0" w:rsidR="001043C0" w:rsidRPr="0055278E" w:rsidRDefault="001043C0" w:rsidP="00A51CAF">
      <w:pPr>
        <w:pStyle w:val="Heading2"/>
      </w:pPr>
      <w:r w:rsidRPr="0055278E">
        <w:lastRenderedPageBreak/>
        <w:t xml:space="preserve"> Program </w:t>
      </w:r>
      <w:r w:rsidR="001551BD" w:rsidRPr="0055278E">
        <w:t xml:space="preserve">Standard </w:t>
      </w:r>
      <w:r w:rsidRPr="0055278E">
        <w:t xml:space="preserve">4:  </w:t>
      </w:r>
      <w:r w:rsidR="00AC5491" w:rsidRPr="0055278E">
        <w:t>Bilingual Methodology</w:t>
      </w:r>
    </w:p>
    <w:p w14:paraId="6B3145B0" w14:textId="77777777" w:rsidR="001043C0" w:rsidRPr="0055278E" w:rsidRDefault="001043C0" w:rsidP="001043C0">
      <w:pPr>
        <w:jc w:val="center"/>
        <w:rPr>
          <w:rFonts w:ascii="Arial" w:hAnsi="Arial" w:cs="Arial"/>
          <w:b/>
        </w:rPr>
      </w:pPr>
    </w:p>
    <w:tbl>
      <w:tblPr>
        <w:tblStyle w:val="TableGrid"/>
        <w:tblW w:w="0" w:type="auto"/>
        <w:tblLook w:val="00A0" w:firstRow="1" w:lastRow="0" w:firstColumn="1" w:lastColumn="0" w:noHBand="0" w:noVBand="0"/>
      </w:tblPr>
      <w:tblGrid>
        <w:gridCol w:w="2958"/>
        <w:gridCol w:w="5669"/>
        <w:gridCol w:w="4323"/>
      </w:tblGrid>
      <w:tr w:rsidR="001043C0" w:rsidRPr="0055278E" w14:paraId="589A7992" w14:textId="77777777" w:rsidTr="00A51CAF">
        <w:trPr>
          <w:cantSplit/>
          <w:tblHeader/>
        </w:trPr>
        <w:tc>
          <w:tcPr>
            <w:tcW w:w="2988" w:type="dxa"/>
          </w:tcPr>
          <w:p w14:paraId="5C4B708A" w14:textId="77777777" w:rsidR="001043C0" w:rsidRPr="0055278E" w:rsidRDefault="001043C0" w:rsidP="001043C0">
            <w:pPr>
              <w:jc w:val="center"/>
              <w:rPr>
                <w:rFonts w:ascii="Arial" w:hAnsi="Arial" w:cs="Arial"/>
                <w:b/>
              </w:rPr>
            </w:pPr>
            <w:r w:rsidRPr="0055278E">
              <w:rPr>
                <w:rFonts w:ascii="Arial" w:hAnsi="Arial" w:cs="Arial"/>
                <w:b/>
              </w:rPr>
              <w:t>Standard</w:t>
            </w:r>
          </w:p>
        </w:tc>
        <w:tc>
          <w:tcPr>
            <w:tcW w:w="5796" w:type="dxa"/>
          </w:tcPr>
          <w:p w14:paraId="552944DC" w14:textId="77777777" w:rsidR="001043C0" w:rsidRPr="0055278E" w:rsidRDefault="001043C0" w:rsidP="001043C0">
            <w:pPr>
              <w:jc w:val="center"/>
              <w:rPr>
                <w:rFonts w:ascii="Arial" w:hAnsi="Arial" w:cs="Arial"/>
                <w:b/>
              </w:rPr>
            </w:pPr>
            <w:r w:rsidRPr="0055278E">
              <w:rPr>
                <w:rFonts w:ascii="Arial" w:hAnsi="Arial" w:cs="Arial"/>
                <w:b/>
              </w:rPr>
              <w:t>Narrative Response</w:t>
            </w:r>
          </w:p>
        </w:tc>
        <w:tc>
          <w:tcPr>
            <w:tcW w:w="4392" w:type="dxa"/>
          </w:tcPr>
          <w:p w14:paraId="2B4386E3" w14:textId="77777777" w:rsidR="001043C0" w:rsidRPr="0055278E" w:rsidRDefault="001043C0" w:rsidP="001043C0">
            <w:pPr>
              <w:jc w:val="center"/>
              <w:rPr>
                <w:rFonts w:ascii="Arial" w:hAnsi="Arial" w:cs="Arial"/>
                <w:b/>
              </w:rPr>
            </w:pPr>
            <w:r w:rsidRPr="0055278E">
              <w:rPr>
                <w:rFonts w:ascii="Arial" w:hAnsi="Arial" w:cs="Arial"/>
                <w:b/>
              </w:rPr>
              <w:t>Documentation</w:t>
            </w:r>
          </w:p>
        </w:tc>
      </w:tr>
      <w:tr w:rsidR="001043C0" w:rsidRPr="0055278E" w14:paraId="2CA1EA21" w14:textId="77777777" w:rsidTr="00A51CAF">
        <w:trPr>
          <w:cantSplit/>
        </w:trPr>
        <w:tc>
          <w:tcPr>
            <w:tcW w:w="2988" w:type="dxa"/>
          </w:tcPr>
          <w:p w14:paraId="3936BE57" w14:textId="77777777" w:rsidR="001043C0" w:rsidRPr="0055278E" w:rsidRDefault="00AC5491" w:rsidP="00AC5491">
            <w:pPr>
              <w:autoSpaceDE w:val="0"/>
              <w:autoSpaceDN w:val="0"/>
              <w:adjustRightInd w:val="0"/>
              <w:rPr>
                <w:rFonts w:ascii="Arial" w:hAnsi="Arial" w:cs="Arial"/>
              </w:rPr>
            </w:pPr>
            <w:r w:rsidRPr="0055278E">
              <w:rPr>
                <w:rFonts w:ascii="Arial" w:hAnsi="Arial" w:cs="Arial"/>
              </w:rPr>
              <w:t>The bilingual teacher preparation program prepares bilingual candidates to understand the interrelatedness among the four domains of language (listening, speaking, reading, and writing) and to know language forms and functions.</w:t>
            </w:r>
          </w:p>
        </w:tc>
        <w:tc>
          <w:tcPr>
            <w:tcW w:w="5796" w:type="dxa"/>
          </w:tcPr>
          <w:p w14:paraId="0430E374" w14:textId="77777777" w:rsidR="001043C0" w:rsidRPr="0055278E" w:rsidRDefault="001043C0" w:rsidP="001043C0">
            <w:pPr>
              <w:jc w:val="center"/>
              <w:rPr>
                <w:rFonts w:ascii="Arial" w:hAnsi="Arial" w:cs="Arial"/>
                <w:b/>
              </w:rPr>
            </w:pPr>
          </w:p>
        </w:tc>
        <w:tc>
          <w:tcPr>
            <w:tcW w:w="4392" w:type="dxa"/>
          </w:tcPr>
          <w:p w14:paraId="6292966E" w14:textId="77777777" w:rsidR="001043C0" w:rsidRPr="0055278E" w:rsidRDefault="001043C0" w:rsidP="001043C0">
            <w:pPr>
              <w:jc w:val="center"/>
              <w:rPr>
                <w:rFonts w:ascii="Arial" w:hAnsi="Arial" w:cs="Arial"/>
                <w:b/>
              </w:rPr>
            </w:pPr>
          </w:p>
        </w:tc>
      </w:tr>
      <w:tr w:rsidR="001043C0" w:rsidRPr="0055278E" w14:paraId="501777E9" w14:textId="77777777" w:rsidTr="00A51CAF">
        <w:trPr>
          <w:cantSplit/>
        </w:trPr>
        <w:tc>
          <w:tcPr>
            <w:tcW w:w="2988" w:type="dxa"/>
          </w:tcPr>
          <w:p w14:paraId="5A9FCA9B"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The program also prepares candidates to plan, develop, implement and assess standards-aligned content instruction in the primary and target</w:t>
            </w:r>
          </w:p>
          <w:p w14:paraId="3F2C7540" w14:textId="77777777" w:rsidR="001043C0" w:rsidRPr="0055278E" w:rsidRDefault="00AC5491" w:rsidP="00AC5491">
            <w:pPr>
              <w:rPr>
                <w:rFonts w:ascii="Arial" w:hAnsi="Arial" w:cs="Arial"/>
                <w:b/>
              </w:rPr>
            </w:pPr>
            <w:r w:rsidRPr="0055278E">
              <w:rPr>
                <w:rFonts w:ascii="Arial" w:hAnsi="Arial" w:cs="Arial"/>
              </w:rPr>
              <w:t>language.</w:t>
            </w:r>
          </w:p>
        </w:tc>
        <w:tc>
          <w:tcPr>
            <w:tcW w:w="5796" w:type="dxa"/>
          </w:tcPr>
          <w:p w14:paraId="279AE308" w14:textId="77777777" w:rsidR="001043C0" w:rsidRPr="0055278E" w:rsidRDefault="001043C0" w:rsidP="001043C0">
            <w:pPr>
              <w:jc w:val="center"/>
              <w:rPr>
                <w:rFonts w:ascii="Arial" w:hAnsi="Arial" w:cs="Arial"/>
                <w:b/>
              </w:rPr>
            </w:pPr>
          </w:p>
        </w:tc>
        <w:tc>
          <w:tcPr>
            <w:tcW w:w="4392" w:type="dxa"/>
          </w:tcPr>
          <w:p w14:paraId="7C046805" w14:textId="77777777" w:rsidR="001043C0" w:rsidRPr="0055278E" w:rsidRDefault="001043C0" w:rsidP="001043C0">
            <w:pPr>
              <w:jc w:val="center"/>
              <w:rPr>
                <w:rFonts w:ascii="Arial" w:hAnsi="Arial" w:cs="Arial"/>
                <w:b/>
              </w:rPr>
            </w:pPr>
          </w:p>
        </w:tc>
      </w:tr>
      <w:tr w:rsidR="001043C0" w:rsidRPr="0055278E" w14:paraId="654F7D72" w14:textId="77777777" w:rsidTr="00A51CAF">
        <w:trPr>
          <w:cantSplit/>
        </w:trPr>
        <w:tc>
          <w:tcPr>
            <w:tcW w:w="2988" w:type="dxa"/>
          </w:tcPr>
          <w:p w14:paraId="2F5FF54B" w14:textId="77777777" w:rsidR="001043C0" w:rsidRPr="0055278E" w:rsidRDefault="00AC5491" w:rsidP="00AC5491">
            <w:pPr>
              <w:autoSpaceDE w:val="0"/>
              <w:autoSpaceDN w:val="0"/>
              <w:adjustRightInd w:val="0"/>
              <w:rPr>
                <w:rFonts w:ascii="Arial" w:hAnsi="Arial" w:cs="Arial"/>
                <w:b/>
              </w:rPr>
            </w:pPr>
            <w:r w:rsidRPr="0055278E">
              <w:rPr>
                <w:rFonts w:ascii="Arial" w:hAnsi="Arial" w:cs="Arial"/>
              </w:rPr>
              <w:lastRenderedPageBreak/>
              <w:t>Candidates are prepared to employ a variety of instructional and assessment strategies, appropriate to student language proficiency levels, that foster higher-order thinking skills.</w:t>
            </w:r>
          </w:p>
        </w:tc>
        <w:tc>
          <w:tcPr>
            <w:tcW w:w="5796" w:type="dxa"/>
          </w:tcPr>
          <w:p w14:paraId="0F521B4F" w14:textId="77777777" w:rsidR="001043C0" w:rsidRPr="0055278E" w:rsidRDefault="001043C0" w:rsidP="001043C0">
            <w:pPr>
              <w:jc w:val="center"/>
              <w:rPr>
                <w:rFonts w:ascii="Arial" w:hAnsi="Arial" w:cs="Arial"/>
                <w:b/>
              </w:rPr>
            </w:pPr>
          </w:p>
        </w:tc>
        <w:tc>
          <w:tcPr>
            <w:tcW w:w="4392" w:type="dxa"/>
          </w:tcPr>
          <w:p w14:paraId="5BEE701A" w14:textId="77777777" w:rsidR="001043C0" w:rsidRPr="0055278E" w:rsidRDefault="001043C0" w:rsidP="001043C0">
            <w:pPr>
              <w:jc w:val="center"/>
              <w:rPr>
                <w:rFonts w:ascii="Arial" w:hAnsi="Arial" w:cs="Arial"/>
                <w:b/>
              </w:rPr>
            </w:pPr>
          </w:p>
        </w:tc>
      </w:tr>
      <w:tr w:rsidR="001043C0" w:rsidRPr="0055278E" w14:paraId="1DBCFCE8" w14:textId="77777777" w:rsidTr="00A51CAF">
        <w:trPr>
          <w:cantSplit/>
        </w:trPr>
        <w:tc>
          <w:tcPr>
            <w:tcW w:w="2988" w:type="dxa"/>
          </w:tcPr>
          <w:p w14:paraId="358C5CC0"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The program ensures that bilingual candidates have knowledge of bilingual instructional models,</w:t>
            </w:r>
          </w:p>
          <w:p w14:paraId="64CEFF86" w14:textId="77777777" w:rsidR="001043C0" w:rsidRPr="0055278E" w:rsidRDefault="00AC5491" w:rsidP="00AC5491">
            <w:pPr>
              <w:autoSpaceDE w:val="0"/>
              <w:autoSpaceDN w:val="0"/>
              <w:adjustRightInd w:val="0"/>
              <w:rPr>
                <w:rFonts w:ascii="Arial" w:hAnsi="Arial" w:cs="Arial"/>
                <w:b/>
              </w:rPr>
            </w:pPr>
            <w:r w:rsidRPr="0055278E">
              <w:rPr>
                <w:rFonts w:ascii="Arial" w:hAnsi="Arial" w:cs="Arial"/>
              </w:rPr>
              <w:t>instructional strategies and materials to appropriately apply them to their instructional and assessment practices.</w:t>
            </w:r>
          </w:p>
        </w:tc>
        <w:tc>
          <w:tcPr>
            <w:tcW w:w="5796" w:type="dxa"/>
          </w:tcPr>
          <w:p w14:paraId="742DA659" w14:textId="77777777" w:rsidR="001043C0" w:rsidRPr="0055278E" w:rsidRDefault="001043C0" w:rsidP="001043C0">
            <w:pPr>
              <w:jc w:val="center"/>
              <w:rPr>
                <w:rFonts w:ascii="Arial" w:hAnsi="Arial" w:cs="Arial"/>
                <w:b/>
              </w:rPr>
            </w:pPr>
          </w:p>
        </w:tc>
        <w:tc>
          <w:tcPr>
            <w:tcW w:w="4392" w:type="dxa"/>
          </w:tcPr>
          <w:p w14:paraId="1653890A" w14:textId="77777777" w:rsidR="001043C0" w:rsidRPr="0055278E" w:rsidRDefault="001043C0" w:rsidP="001043C0">
            <w:pPr>
              <w:jc w:val="center"/>
              <w:rPr>
                <w:rFonts w:ascii="Arial" w:hAnsi="Arial" w:cs="Arial"/>
                <w:b/>
              </w:rPr>
            </w:pPr>
          </w:p>
        </w:tc>
      </w:tr>
      <w:tr w:rsidR="001043C0" w:rsidRPr="0055278E" w14:paraId="0A2CC6F6" w14:textId="77777777" w:rsidTr="00A51CAF">
        <w:trPr>
          <w:cantSplit/>
        </w:trPr>
        <w:tc>
          <w:tcPr>
            <w:tcW w:w="2988" w:type="dxa"/>
          </w:tcPr>
          <w:p w14:paraId="763F1390"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In addition, programs develop bilingual candidates’ understanding of</w:t>
            </w:r>
          </w:p>
          <w:p w14:paraId="6CDE7FDC"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knowledge of intercultural communication and interaction that is linguistically and culturally</w:t>
            </w:r>
          </w:p>
          <w:p w14:paraId="2EDC0133" w14:textId="77777777" w:rsidR="001043C0" w:rsidRPr="0055278E" w:rsidRDefault="00AC5491" w:rsidP="00AC5491">
            <w:pPr>
              <w:rPr>
                <w:rFonts w:ascii="Arial" w:hAnsi="Arial" w:cs="Arial"/>
              </w:rPr>
            </w:pPr>
            <w:r w:rsidRPr="0055278E">
              <w:rPr>
                <w:rFonts w:ascii="Arial" w:hAnsi="Arial" w:cs="Arial"/>
              </w:rPr>
              <w:t>responsive.</w:t>
            </w:r>
          </w:p>
        </w:tc>
        <w:tc>
          <w:tcPr>
            <w:tcW w:w="5796" w:type="dxa"/>
          </w:tcPr>
          <w:p w14:paraId="4926D91E" w14:textId="77777777" w:rsidR="001043C0" w:rsidRPr="0055278E" w:rsidRDefault="001043C0" w:rsidP="001043C0">
            <w:pPr>
              <w:jc w:val="center"/>
              <w:rPr>
                <w:rFonts w:ascii="Arial" w:hAnsi="Arial" w:cs="Arial"/>
                <w:b/>
              </w:rPr>
            </w:pPr>
          </w:p>
        </w:tc>
        <w:tc>
          <w:tcPr>
            <w:tcW w:w="4392" w:type="dxa"/>
          </w:tcPr>
          <w:p w14:paraId="72643AB3" w14:textId="77777777" w:rsidR="001043C0" w:rsidRPr="0055278E" w:rsidRDefault="001043C0" w:rsidP="001043C0">
            <w:pPr>
              <w:jc w:val="center"/>
              <w:rPr>
                <w:rFonts w:ascii="Arial" w:hAnsi="Arial" w:cs="Arial"/>
                <w:b/>
              </w:rPr>
            </w:pPr>
          </w:p>
        </w:tc>
      </w:tr>
      <w:tr w:rsidR="001043C0" w:rsidRPr="0055278E" w14:paraId="2C299593" w14:textId="77777777" w:rsidTr="00A51CAF">
        <w:trPr>
          <w:cantSplit/>
        </w:trPr>
        <w:tc>
          <w:tcPr>
            <w:tcW w:w="2988" w:type="dxa"/>
          </w:tcPr>
          <w:p w14:paraId="72D98E6D"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lastRenderedPageBreak/>
              <w:t>The bilingual teacher preparation program further prepares candidates to evaluate, select, use and adapt state-board adopted and state-board approved materials, as well as other</w:t>
            </w:r>
          </w:p>
          <w:p w14:paraId="1F39DB3E" w14:textId="77777777" w:rsidR="001043C0" w:rsidRPr="0055278E" w:rsidRDefault="00AC5491" w:rsidP="00AC5491">
            <w:pPr>
              <w:rPr>
                <w:rFonts w:ascii="Arial" w:hAnsi="Arial" w:cs="Arial"/>
                <w:b/>
              </w:rPr>
            </w:pPr>
            <w:r w:rsidRPr="0055278E">
              <w:rPr>
                <w:rFonts w:ascii="Arial" w:hAnsi="Arial" w:cs="Arial"/>
              </w:rPr>
              <w:t>supplemental instructional materials.</w:t>
            </w:r>
          </w:p>
        </w:tc>
        <w:tc>
          <w:tcPr>
            <w:tcW w:w="5796" w:type="dxa"/>
          </w:tcPr>
          <w:p w14:paraId="099CA5E1" w14:textId="77777777" w:rsidR="001043C0" w:rsidRPr="0055278E" w:rsidRDefault="001043C0" w:rsidP="001043C0">
            <w:pPr>
              <w:jc w:val="center"/>
              <w:rPr>
                <w:rFonts w:ascii="Arial" w:hAnsi="Arial" w:cs="Arial"/>
                <w:b/>
              </w:rPr>
            </w:pPr>
          </w:p>
        </w:tc>
        <w:tc>
          <w:tcPr>
            <w:tcW w:w="4392" w:type="dxa"/>
          </w:tcPr>
          <w:p w14:paraId="59945FBC" w14:textId="77777777" w:rsidR="001043C0" w:rsidRPr="0055278E" w:rsidRDefault="001043C0" w:rsidP="001043C0">
            <w:pPr>
              <w:jc w:val="center"/>
              <w:rPr>
                <w:rFonts w:ascii="Arial" w:hAnsi="Arial" w:cs="Arial"/>
                <w:b/>
              </w:rPr>
            </w:pPr>
          </w:p>
        </w:tc>
      </w:tr>
      <w:tr w:rsidR="001043C0" w:rsidRPr="0055278E" w14:paraId="2DF4562D" w14:textId="77777777" w:rsidTr="00A51CAF">
        <w:trPr>
          <w:cantSplit/>
        </w:trPr>
        <w:tc>
          <w:tcPr>
            <w:tcW w:w="2988" w:type="dxa"/>
          </w:tcPr>
          <w:p w14:paraId="525BFFEB"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The program provides opportunities for teacher candidates to demonstrate the ability to use a variety of criteria for selection of instructional materials, to</w:t>
            </w:r>
          </w:p>
          <w:p w14:paraId="2E75BA35"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assess the suitability and appropriateness for local context and to augment resources when they</w:t>
            </w:r>
          </w:p>
          <w:p w14:paraId="757542F1" w14:textId="77777777" w:rsidR="001043C0" w:rsidRPr="0055278E" w:rsidRDefault="00AC5491" w:rsidP="00AC5491">
            <w:pPr>
              <w:rPr>
                <w:rFonts w:ascii="Arial" w:hAnsi="Arial" w:cs="Arial"/>
              </w:rPr>
            </w:pPr>
            <w:r w:rsidRPr="0055278E">
              <w:rPr>
                <w:rFonts w:ascii="Arial" w:hAnsi="Arial" w:cs="Arial"/>
              </w:rPr>
              <w:t xml:space="preserve">are not suitable or </w:t>
            </w:r>
            <w:proofErr w:type="gramStart"/>
            <w:r w:rsidRPr="0055278E">
              <w:rPr>
                <w:rFonts w:ascii="Arial" w:hAnsi="Arial" w:cs="Arial"/>
              </w:rPr>
              <w:t>available.</w:t>
            </w:r>
            <w:r w:rsidR="001043C0" w:rsidRPr="0055278E">
              <w:rPr>
                <w:rFonts w:ascii="Arial" w:hAnsi="Arial" w:cs="Arial"/>
              </w:rPr>
              <w:t>.</w:t>
            </w:r>
            <w:proofErr w:type="gramEnd"/>
            <w:r w:rsidR="001043C0" w:rsidRPr="0055278E">
              <w:rPr>
                <w:rFonts w:ascii="Arial" w:hAnsi="Arial" w:cs="Arial"/>
              </w:rPr>
              <w:t xml:space="preserve">  </w:t>
            </w:r>
          </w:p>
        </w:tc>
        <w:tc>
          <w:tcPr>
            <w:tcW w:w="5796" w:type="dxa"/>
          </w:tcPr>
          <w:p w14:paraId="2E960087" w14:textId="77777777" w:rsidR="001043C0" w:rsidRPr="0055278E" w:rsidRDefault="001043C0" w:rsidP="001043C0">
            <w:pPr>
              <w:jc w:val="center"/>
              <w:rPr>
                <w:rFonts w:ascii="Arial" w:hAnsi="Arial" w:cs="Arial"/>
                <w:b/>
              </w:rPr>
            </w:pPr>
          </w:p>
        </w:tc>
        <w:tc>
          <w:tcPr>
            <w:tcW w:w="4392" w:type="dxa"/>
          </w:tcPr>
          <w:p w14:paraId="4B9F00F3" w14:textId="77777777" w:rsidR="001043C0" w:rsidRPr="0055278E" w:rsidRDefault="001043C0" w:rsidP="001043C0">
            <w:pPr>
              <w:jc w:val="center"/>
              <w:rPr>
                <w:rFonts w:ascii="Arial" w:hAnsi="Arial" w:cs="Arial"/>
                <w:b/>
              </w:rPr>
            </w:pPr>
          </w:p>
        </w:tc>
      </w:tr>
    </w:tbl>
    <w:p w14:paraId="7993DE13" w14:textId="77777777" w:rsidR="001043C0" w:rsidRPr="0055278E" w:rsidRDefault="001043C0" w:rsidP="00A51CAF">
      <w:pPr>
        <w:pStyle w:val="Heading2"/>
      </w:pPr>
      <w:r w:rsidRPr="0055278E">
        <w:br w:type="page"/>
      </w:r>
      <w:r w:rsidRPr="0055278E">
        <w:lastRenderedPageBreak/>
        <w:t xml:space="preserve"> Program Standard 5:  </w:t>
      </w:r>
      <w:r w:rsidR="00AC5491" w:rsidRPr="0055278E">
        <w:t>Culture of Emphasis</w:t>
      </w:r>
    </w:p>
    <w:p w14:paraId="38BB810E" w14:textId="77777777" w:rsidR="00AC5491" w:rsidRPr="0055278E" w:rsidRDefault="00AC5491" w:rsidP="001043C0">
      <w:pPr>
        <w:jc w:val="center"/>
        <w:rPr>
          <w:rFonts w:ascii="Arial" w:hAnsi="Arial" w:cs="Arial"/>
          <w:b/>
        </w:rPr>
      </w:pPr>
    </w:p>
    <w:tbl>
      <w:tblPr>
        <w:tblStyle w:val="TableGrid"/>
        <w:tblW w:w="0" w:type="auto"/>
        <w:tblLook w:val="00A0" w:firstRow="1" w:lastRow="0" w:firstColumn="1" w:lastColumn="0" w:noHBand="0" w:noVBand="0"/>
      </w:tblPr>
      <w:tblGrid>
        <w:gridCol w:w="2961"/>
        <w:gridCol w:w="7118"/>
        <w:gridCol w:w="2871"/>
      </w:tblGrid>
      <w:tr w:rsidR="001043C0" w:rsidRPr="0055278E" w14:paraId="0A0D208B" w14:textId="77777777" w:rsidTr="00FC3A1D">
        <w:trPr>
          <w:cantSplit/>
          <w:tblHeader/>
        </w:trPr>
        <w:tc>
          <w:tcPr>
            <w:tcW w:w="2988" w:type="dxa"/>
          </w:tcPr>
          <w:p w14:paraId="0C52BD32" w14:textId="77777777" w:rsidR="001043C0" w:rsidRPr="0055278E" w:rsidRDefault="001043C0" w:rsidP="001043C0">
            <w:pPr>
              <w:jc w:val="center"/>
              <w:rPr>
                <w:rFonts w:ascii="Arial" w:hAnsi="Arial" w:cs="Arial"/>
                <w:b/>
              </w:rPr>
            </w:pPr>
            <w:r w:rsidRPr="0055278E">
              <w:rPr>
                <w:rFonts w:ascii="Arial" w:hAnsi="Arial" w:cs="Arial"/>
                <w:b/>
              </w:rPr>
              <w:t>Standard</w:t>
            </w:r>
          </w:p>
        </w:tc>
        <w:tc>
          <w:tcPr>
            <w:tcW w:w="7290" w:type="dxa"/>
          </w:tcPr>
          <w:p w14:paraId="5D30E919" w14:textId="77777777" w:rsidR="001043C0" w:rsidRPr="0055278E" w:rsidRDefault="001043C0" w:rsidP="001043C0">
            <w:pPr>
              <w:jc w:val="center"/>
              <w:rPr>
                <w:rFonts w:ascii="Arial" w:hAnsi="Arial" w:cs="Arial"/>
                <w:b/>
              </w:rPr>
            </w:pPr>
            <w:r w:rsidRPr="0055278E">
              <w:rPr>
                <w:rFonts w:ascii="Arial" w:hAnsi="Arial" w:cs="Arial"/>
                <w:b/>
              </w:rPr>
              <w:t>Narrative Response</w:t>
            </w:r>
          </w:p>
        </w:tc>
        <w:tc>
          <w:tcPr>
            <w:tcW w:w="2898" w:type="dxa"/>
          </w:tcPr>
          <w:p w14:paraId="386B5E4A" w14:textId="77777777" w:rsidR="001043C0" w:rsidRPr="0055278E" w:rsidRDefault="001043C0" w:rsidP="001043C0">
            <w:pPr>
              <w:jc w:val="center"/>
              <w:rPr>
                <w:rFonts w:ascii="Arial" w:hAnsi="Arial" w:cs="Arial"/>
                <w:b/>
              </w:rPr>
            </w:pPr>
            <w:r w:rsidRPr="0055278E">
              <w:rPr>
                <w:rFonts w:ascii="Arial" w:hAnsi="Arial" w:cs="Arial"/>
                <w:b/>
              </w:rPr>
              <w:t>Documentation</w:t>
            </w:r>
          </w:p>
        </w:tc>
      </w:tr>
      <w:tr w:rsidR="001043C0" w:rsidRPr="0055278E" w14:paraId="3F3C1705" w14:textId="77777777" w:rsidTr="00FC3A1D">
        <w:trPr>
          <w:cantSplit/>
        </w:trPr>
        <w:tc>
          <w:tcPr>
            <w:tcW w:w="2988" w:type="dxa"/>
          </w:tcPr>
          <w:p w14:paraId="34A617F0"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The professional bilingual teacher preparation program develops candidates’ knowledge of the traditions, roles, status, and communication patterns of the culture of emphasis as experienced in</w:t>
            </w:r>
          </w:p>
          <w:p w14:paraId="62F128CE" w14:textId="77777777" w:rsidR="001043C0" w:rsidRPr="0055278E" w:rsidRDefault="00AC5491" w:rsidP="00AC5491">
            <w:pPr>
              <w:rPr>
                <w:rFonts w:ascii="Arial" w:hAnsi="Arial" w:cs="Arial"/>
              </w:rPr>
            </w:pPr>
            <w:r w:rsidRPr="0055278E">
              <w:rPr>
                <w:rFonts w:ascii="Arial" w:hAnsi="Arial" w:cs="Arial"/>
              </w:rPr>
              <w:t>the country or countries of origin and in the United States.</w:t>
            </w:r>
          </w:p>
        </w:tc>
        <w:tc>
          <w:tcPr>
            <w:tcW w:w="7290" w:type="dxa"/>
          </w:tcPr>
          <w:p w14:paraId="58B73FC6" w14:textId="77777777" w:rsidR="001043C0" w:rsidRPr="0055278E" w:rsidRDefault="001043C0" w:rsidP="001043C0">
            <w:pPr>
              <w:jc w:val="center"/>
              <w:rPr>
                <w:rFonts w:ascii="Arial" w:hAnsi="Arial" w:cs="Arial"/>
                <w:b/>
              </w:rPr>
            </w:pPr>
          </w:p>
        </w:tc>
        <w:tc>
          <w:tcPr>
            <w:tcW w:w="2898" w:type="dxa"/>
          </w:tcPr>
          <w:p w14:paraId="09168013" w14:textId="77777777" w:rsidR="001043C0" w:rsidRPr="0055278E" w:rsidRDefault="001043C0" w:rsidP="001043C0">
            <w:pPr>
              <w:jc w:val="center"/>
              <w:rPr>
                <w:rFonts w:ascii="Arial" w:hAnsi="Arial" w:cs="Arial"/>
                <w:b/>
              </w:rPr>
            </w:pPr>
          </w:p>
        </w:tc>
      </w:tr>
      <w:tr w:rsidR="001043C0" w:rsidRPr="0055278E" w14:paraId="25F2F3EE" w14:textId="77777777" w:rsidTr="00FC3A1D">
        <w:trPr>
          <w:cantSplit/>
        </w:trPr>
        <w:tc>
          <w:tcPr>
            <w:tcW w:w="2988" w:type="dxa"/>
          </w:tcPr>
          <w:p w14:paraId="7F4BE48B"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Included in that knowledge is the</w:t>
            </w:r>
          </w:p>
          <w:p w14:paraId="1D8B9E83"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 xml:space="preserve">understanding of </w:t>
            </w:r>
            <w:proofErr w:type="spellStart"/>
            <w:r w:rsidRPr="0055278E">
              <w:rPr>
                <w:rFonts w:ascii="Arial" w:hAnsi="Arial" w:cs="Arial"/>
              </w:rPr>
              <w:t>crosscultural</w:t>
            </w:r>
            <w:proofErr w:type="spellEnd"/>
            <w:r w:rsidRPr="0055278E">
              <w:rPr>
                <w:rFonts w:ascii="Arial" w:hAnsi="Arial" w:cs="Arial"/>
              </w:rPr>
              <w:t>, intercultural and intracultural relationships and interactions, as</w:t>
            </w:r>
          </w:p>
          <w:p w14:paraId="104CBE5E" w14:textId="77777777" w:rsidR="001043C0" w:rsidRPr="0055278E" w:rsidRDefault="00AC5491" w:rsidP="00AC5491">
            <w:pPr>
              <w:rPr>
                <w:rFonts w:ascii="Arial" w:hAnsi="Arial" w:cs="Arial"/>
                <w:b/>
              </w:rPr>
            </w:pPr>
            <w:r w:rsidRPr="0055278E">
              <w:rPr>
                <w:rFonts w:ascii="Arial" w:hAnsi="Arial" w:cs="Arial"/>
              </w:rPr>
              <w:t>well as contributions of the culture of emphasis in California and the United States.</w:t>
            </w:r>
          </w:p>
        </w:tc>
        <w:tc>
          <w:tcPr>
            <w:tcW w:w="7290" w:type="dxa"/>
          </w:tcPr>
          <w:p w14:paraId="6B2FC728" w14:textId="77777777" w:rsidR="001043C0" w:rsidRPr="0055278E" w:rsidRDefault="001043C0" w:rsidP="001043C0">
            <w:pPr>
              <w:jc w:val="center"/>
              <w:rPr>
                <w:rFonts w:ascii="Arial" w:hAnsi="Arial" w:cs="Arial"/>
                <w:b/>
              </w:rPr>
            </w:pPr>
          </w:p>
        </w:tc>
        <w:tc>
          <w:tcPr>
            <w:tcW w:w="2898" w:type="dxa"/>
          </w:tcPr>
          <w:p w14:paraId="22F82D6A" w14:textId="77777777" w:rsidR="001043C0" w:rsidRPr="0055278E" w:rsidRDefault="001043C0" w:rsidP="001043C0">
            <w:pPr>
              <w:jc w:val="center"/>
              <w:rPr>
                <w:rFonts w:ascii="Arial" w:hAnsi="Arial" w:cs="Arial"/>
                <w:b/>
              </w:rPr>
            </w:pPr>
          </w:p>
        </w:tc>
      </w:tr>
      <w:tr w:rsidR="001043C0" w:rsidRPr="0055278E" w14:paraId="7A4B103E" w14:textId="77777777" w:rsidTr="00FC3A1D">
        <w:trPr>
          <w:cantSplit/>
        </w:trPr>
        <w:tc>
          <w:tcPr>
            <w:tcW w:w="2988" w:type="dxa"/>
          </w:tcPr>
          <w:p w14:paraId="7484C2AE"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lastRenderedPageBreak/>
              <w:t>Also included is the knowledge of major historical events, political, economic, religious, and</w:t>
            </w:r>
          </w:p>
          <w:p w14:paraId="242D8985"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educational factors that influence the socialization and acculturation experiences of the target</w:t>
            </w:r>
          </w:p>
          <w:p w14:paraId="020173FC" w14:textId="77777777" w:rsidR="001043C0" w:rsidRPr="0055278E" w:rsidRDefault="00AC5491" w:rsidP="00AC5491">
            <w:pPr>
              <w:rPr>
                <w:rFonts w:ascii="Arial" w:hAnsi="Arial" w:cs="Arial"/>
                <w:b/>
              </w:rPr>
            </w:pPr>
            <w:r w:rsidRPr="0055278E">
              <w:rPr>
                <w:rFonts w:ascii="Arial" w:hAnsi="Arial" w:cs="Arial"/>
              </w:rPr>
              <w:t>groups in the California and the U.S.</w:t>
            </w:r>
          </w:p>
        </w:tc>
        <w:tc>
          <w:tcPr>
            <w:tcW w:w="7290" w:type="dxa"/>
          </w:tcPr>
          <w:p w14:paraId="0CCB34A9" w14:textId="77777777" w:rsidR="001043C0" w:rsidRPr="0055278E" w:rsidRDefault="001043C0" w:rsidP="001043C0">
            <w:pPr>
              <w:jc w:val="center"/>
              <w:rPr>
                <w:rFonts w:ascii="Arial" w:hAnsi="Arial" w:cs="Arial"/>
                <w:b/>
              </w:rPr>
            </w:pPr>
          </w:p>
        </w:tc>
        <w:tc>
          <w:tcPr>
            <w:tcW w:w="2898" w:type="dxa"/>
          </w:tcPr>
          <w:p w14:paraId="6AAFEE04" w14:textId="77777777" w:rsidR="001043C0" w:rsidRPr="0055278E" w:rsidRDefault="001043C0" w:rsidP="001043C0">
            <w:pPr>
              <w:jc w:val="center"/>
              <w:rPr>
                <w:rFonts w:ascii="Arial" w:hAnsi="Arial" w:cs="Arial"/>
                <w:b/>
              </w:rPr>
            </w:pPr>
          </w:p>
        </w:tc>
      </w:tr>
      <w:tr w:rsidR="001043C0" w:rsidRPr="0055278E" w14:paraId="3786CE84" w14:textId="77777777" w:rsidTr="00FC3A1D">
        <w:trPr>
          <w:cantSplit/>
        </w:trPr>
        <w:tc>
          <w:tcPr>
            <w:tcW w:w="2988" w:type="dxa"/>
          </w:tcPr>
          <w:p w14:paraId="2CBB14A8"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Candidates demonstrate knowledge of the</w:t>
            </w:r>
          </w:p>
          <w:p w14:paraId="20144DDF"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country/countries of origin, including geographic barriers, demographic and linguistic patterns,</w:t>
            </w:r>
          </w:p>
          <w:p w14:paraId="45FC1983" w14:textId="77777777" w:rsidR="001043C0" w:rsidRPr="0055278E" w:rsidRDefault="00AC5491" w:rsidP="00AC5491">
            <w:pPr>
              <w:autoSpaceDE w:val="0"/>
              <w:autoSpaceDN w:val="0"/>
              <w:adjustRightInd w:val="0"/>
              <w:rPr>
                <w:rFonts w:ascii="Arial" w:hAnsi="Arial" w:cs="Arial"/>
                <w:b/>
              </w:rPr>
            </w:pPr>
            <w:r w:rsidRPr="0055278E">
              <w:rPr>
                <w:rFonts w:ascii="Arial" w:hAnsi="Arial" w:cs="Arial"/>
              </w:rPr>
              <w:t>and the ways in which these affect trends of migration, immigration and settlement in the United States.</w:t>
            </w:r>
          </w:p>
        </w:tc>
        <w:tc>
          <w:tcPr>
            <w:tcW w:w="7290" w:type="dxa"/>
          </w:tcPr>
          <w:p w14:paraId="736B8496" w14:textId="77777777" w:rsidR="001043C0" w:rsidRPr="0055278E" w:rsidRDefault="001043C0" w:rsidP="001043C0">
            <w:pPr>
              <w:jc w:val="center"/>
              <w:rPr>
                <w:rFonts w:ascii="Arial" w:hAnsi="Arial" w:cs="Arial"/>
                <w:b/>
              </w:rPr>
            </w:pPr>
          </w:p>
        </w:tc>
        <w:tc>
          <w:tcPr>
            <w:tcW w:w="2898" w:type="dxa"/>
          </w:tcPr>
          <w:p w14:paraId="7ECA7210" w14:textId="77777777" w:rsidR="001043C0" w:rsidRPr="0055278E" w:rsidRDefault="001043C0" w:rsidP="001043C0">
            <w:pPr>
              <w:jc w:val="center"/>
              <w:rPr>
                <w:rFonts w:ascii="Arial" w:hAnsi="Arial" w:cs="Arial"/>
                <w:b/>
              </w:rPr>
            </w:pPr>
          </w:p>
        </w:tc>
      </w:tr>
    </w:tbl>
    <w:p w14:paraId="2996591E" w14:textId="77777777" w:rsidR="00A51CAF" w:rsidRDefault="00A51CAF">
      <w:pPr>
        <w:rPr>
          <w:rFonts w:ascii="Arial" w:eastAsiaTheme="majorEastAsia" w:hAnsi="Arial" w:cstheme="majorBidi"/>
          <w:b/>
          <w:bCs/>
          <w:kern w:val="32"/>
          <w:szCs w:val="32"/>
        </w:rPr>
      </w:pPr>
      <w:r>
        <w:br w:type="page"/>
      </w:r>
    </w:p>
    <w:p w14:paraId="4078B6B8" w14:textId="4DF776D3" w:rsidR="00E008AC" w:rsidRPr="006E12E9" w:rsidRDefault="001043C0" w:rsidP="00A51CAF">
      <w:pPr>
        <w:pStyle w:val="Heading2"/>
      </w:pPr>
      <w:r w:rsidRPr="006E12E9">
        <w:lastRenderedPageBreak/>
        <w:t xml:space="preserve"> Program Standard 6:  </w:t>
      </w:r>
      <w:r w:rsidR="00AC5491" w:rsidRPr="006E12E9">
        <w:t>Assessment of Candidate Language Competence</w:t>
      </w:r>
    </w:p>
    <w:p w14:paraId="7EB2DC60" w14:textId="77777777" w:rsidR="00E008AC" w:rsidRPr="0055278E" w:rsidRDefault="0071760B" w:rsidP="00E008AC">
      <w:pPr>
        <w:autoSpaceDE w:val="0"/>
        <w:autoSpaceDN w:val="0"/>
        <w:adjustRightInd w:val="0"/>
        <w:rPr>
          <w:rFonts w:ascii="Arial" w:hAnsi="Arial" w:cs="Arial"/>
          <w:color w:val="0000FF"/>
        </w:rPr>
      </w:pPr>
      <w:r w:rsidRPr="0055278E">
        <w:rPr>
          <w:rFonts w:ascii="Arial" w:hAnsi="Arial" w:cs="Arial"/>
        </w:rPr>
        <w:t xml:space="preserve">Standard 6 requires candidates </w:t>
      </w:r>
      <w:r w:rsidR="00E008AC" w:rsidRPr="0055278E">
        <w:rPr>
          <w:rFonts w:ascii="Arial" w:hAnsi="Arial" w:cs="Arial"/>
        </w:rPr>
        <w:t xml:space="preserve">to </w:t>
      </w:r>
      <w:r w:rsidRPr="0055278E">
        <w:rPr>
          <w:rFonts w:ascii="Arial" w:hAnsi="Arial" w:cs="Arial"/>
        </w:rPr>
        <w:t>demonstrate a range of language</w:t>
      </w:r>
      <w:r w:rsidR="00E008AC" w:rsidRPr="0055278E">
        <w:rPr>
          <w:rFonts w:ascii="Arial" w:hAnsi="Arial" w:cs="Arial"/>
        </w:rPr>
        <w:t xml:space="preserve"> </w:t>
      </w:r>
      <w:r w:rsidRPr="0055278E">
        <w:rPr>
          <w:rFonts w:ascii="Arial" w:hAnsi="Arial" w:cs="Arial"/>
        </w:rPr>
        <w:t xml:space="preserve">competence skills in listening, speaking, reading and writing equivalent to the </w:t>
      </w:r>
      <w:proofErr w:type="gramStart"/>
      <w:r w:rsidRPr="0055278E">
        <w:rPr>
          <w:rFonts w:ascii="Arial" w:hAnsi="Arial" w:cs="Arial"/>
        </w:rPr>
        <w:t>CSET:LOTE</w:t>
      </w:r>
      <w:proofErr w:type="gramEnd"/>
      <w:r w:rsidR="00E008AC" w:rsidRPr="0055278E">
        <w:rPr>
          <w:rFonts w:ascii="Arial" w:hAnsi="Arial" w:cs="Arial"/>
        </w:rPr>
        <w:t xml:space="preserve"> </w:t>
      </w:r>
      <w:r w:rsidRPr="0055278E">
        <w:rPr>
          <w:rFonts w:ascii="Arial" w:hAnsi="Arial" w:cs="Arial"/>
        </w:rPr>
        <w:t>Subject Matter Requirements for Subtest II or III (</w:t>
      </w:r>
      <w:r w:rsidRPr="0055278E">
        <w:rPr>
          <w:rFonts w:ascii="Arial" w:hAnsi="Arial" w:cs="Arial"/>
          <w:b/>
        </w:rPr>
        <w:t>Domains 5-8</w:t>
      </w:r>
      <w:r w:rsidRPr="0055278E">
        <w:rPr>
          <w:rFonts w:ascii="Arial" w:hAnsi="Arial" w:cs="Arial"/>
        </w:rPr>
        <w:t>), and at a level equivalent to the</w:t>
      </w:r>
      <w:r w:rsidR="00E008AC" w:rsidRPr="0055278E">
        <w:rPr>
          <w:rFonts w:ascii="Arial" w:hAnsi="Arial" w:cs="Arial"/>
        </w:rPr>
        <w:t xml:space="preserve"> </w:t>
      </w:r>
      <w:r w:rsidRPr="0055278E">
        <w:rPr>
          <w:rFonts w:ascii="Arial" w:hAnsi="Arial" w:cs="Arial"/>
        </w:rPr>
        <w:t xml:space="preserve">passing standard for the CSET:LOTE examination. </w:t>
      </w:r>
      <w:r w:rsidR="00E008AC" w:rsidRPr="0055278E">
        <w:rPr>
          <w:rFonts w:ascii="Arial" w:hAnsi="Arial" w:cs="Arial"/>
          <w:b/>
          <w:bCs/>
          <w:color w:val="000000"/>
        </w:rPr>
        <w:t>CSET:LOTE Examination Subtest Domains</w:t>
      </w:r>
      <w:r w:rsidR="00E008AC" w:rsidRPr="0055278E">
        <w:rPr>
          <w:rFonts w:ascii="Arial" w:hAnsi="Arial" w:cs="Arial"/>
          <w:b/>
          <w:bCs/>
          <w:color w:val="000000"/>
          <w:sz w:val="28"/>
          <w:szCs w:val="28"/>
        </w:rPr>
        <w:t xml:space="preserve">, </w:t>
      </w:r>
      <w:hyperlink r:id="rId7" w:history="1">
        <w:r w:rsidR="00E008AC" w:rsidRPr="0055278E">
          <w:rPr>
            <w:rStyle w:val="Hyperlink"/>
            <w:rFonts w:ascii="Arial" w:hAnsi="Arial" w:cs="Arial"/>
          </w:rPr>
          <w:t>http://www.cset.nesinc.com/CS_SMR_opener.asp</w:t>
        </w:r>
      </w:hyperlink>
    </w:p>
    <w:p w14:paraId="2EBD3E25" w14:textId="77777777" w:rsidR="00E008AC" w:rsidRPr="0055278E" w:rsidRDefault="00E008AC" w:rsidP="0071760B">
      <w:pPr>
        <w:autoSpaceDE w:val="0"/>
        <w:autoSpaceDN w:val="0"/>
        <w:adjustRightInd w:val="0"/>
        <w:rPr>
          <w:rFonts w:ascii="Arial" w:hAnsi="Arial" w:cs="Arial"/>
        </w:rPr>
      </w:pPr>
    </w:p>
    <w:p w14:paraId="2D05E13E" w14:textId="77777777" w:rsidR="0071760B" w:rsidRPr="0055278E" w:rsidRDefault="0071760B" w:rsidP="0071760B">
      <w:pPr>
        <w:autoSpaceDE w:val="0"/>
        <w:autoSpaceDN w:val="0"/>
        <w:adjustRightInd w:val="0"/>
        <w:rPr>
          <w:rFonts w:ascii="Arial" w:hAnsi="Arial" w:cs="Arial"/>
        </w:rPr>
      </w:pPr>
      <w:r w:rsidRPr="0055278E">
        <w:rPr>
          <w:rFonts w:ascii="Arial" w:hAnsi="Arial" w:cs="Arial"/>
        </w:rPr>
        <w:t>This performance level is set at a minimum</w:t>
      </w:r>
      <w:r w:rsidR="00E008AC" w:rsidRPr="0055278E">
        <w:rPr>
          <w:rFonts w:ascii="Arial" w:hAnsi="Arial" w:cs="Arial"/>
        </w:rPr>
        <w:t xml:space="preserve"> </w:t>
      </w:r>
      <w:r w:rsidRPr="0055278E">
        <w:rPr>
          <w:rFonts w:ascii="Arial" w:hAnsi="Arial" w:cs="Arial"/>
        </w:rPr>
        <w:t xml:space="preserve">of </w:t>
      </w:r>
      <w:r w:rsidRPr="0055278E">
        <w:rPr>
          <w:rFonts w:ascii="Arial" w:hAnsi="Arial" w:cs="Arial"/>
          <w:b/>
        </w:rPr>
        <w:t>ACTFL Advanced-Low for Western languages</w:t>
      </w:r>
      <w:r w:rsidRPr="0055278E">
        <w:rPr>
          <w:rFonts w:ascii="Arial" w:hAnsi="Arial" w:cs="Arial"/>
        </w:rPr>
        <w:t xml:space="preserve"> and </w:t>
      </w:r>
      <w:r w:rsidRPr="0055278E">
        <w:rPr>
          <w:rFonts w:ascii="Arial" w:hAnsi="Arial" w:cs="Arial"/>
          <w:b/>
        </w:rPr>
        <w:t>ACTFL Intermediate-High for non-Western languages</w:t>
      </w:r>
      <w:r w:rsidRPr="0055278E">
        <w:rPr>
          <w:rFonts w:ascii="Arial" w:hAnsi="Arial" w:cs="Arial"/>
        </w:rPr>
        <w:t>. A description of performance levels exemplified by the ACTFL scales is</w:t>
      </w:r>
    </w:p>
    <w:p w14:paraId="559ECC28" w14:textId="77777777" w:rsidR="0071760B" w:rsidRPr="0055278E" w:rsidRDefault="0071760B" w:rsidP="00E008AC">
      <w:pPr>
        <w:autoSpaceDE w:val="0"/>
        <w:autoSpaceDN w:val="0"/>
        <w:adjustRightInd w:val="0"/>
        <w:rPr>
          <w:rFonts w:ascii="Arial" w:hAnsi="Arial" w:cs="Arial"/>
          <w:bCs/>
        </w:rPr>
      </w:pPr>
      <w:r w:rsidRPr="0055278E">
        <w:rPr>
          <w:rFonts w:ascii="Arial" w:hAnsi="Arial" w:cs="Arial"/>
        </w:rPr>
        <w:t>provided in</w:t>
      </w:r>
      <w:r w:rsidR="00E008AC" w:rsidRPr="0055278E">
        <w:rPr>
          <w:rFonts w:ascii="Arial" w:hAnsi="Arial" w:cs="Arial"/>
        </w:rPr>
        <w:t xml:space="preserve"> the appendix to the Program Sponsor handbook, </w:t>
      </w:r>
      <w:r w:rsidR="00E008AC" w:rsidRPr="0055278E">
        <w:rPr>
          <w:rFonts w:ascii="Arial" w:hAnsi="Arial" w:cs="Arial"/>
          <w:bCs/>
        </w:rPr>
        <w:t xml:space="preserve"> </w:t>
      </w:r>
      <w:hyperlink r:id="rId8" w:history="1">
        <w:r w:rsidR="00E008AC" w:rsidRPr="0055278E">
          <w:rPr>
            <w:rStyle w:val="Hyperlink"/>
            <w:rFonts w:ascii="Arial" w:hAnsi="Arial" w:cs="Arial"/>
            <w:bCs/>
          </w:rPr>
          <w:t>http://www.ctc.ca.gov/educator-prep/standards/Bilingual-Authorization-Handbook.pdf</w:t>
        </w:r>
      </w:hyperlink>
    </w:p>
    <w:p w14:paraId="480B030E" w14:textId="77777777" w:rsidR="001043C0" w:rsidRPr="0055278E" w:rsidRDefault="001043C0" w:rsidP="001043C0">
      <w:pPr>
        <w:jc w:val="center"/>
        <w:rPr>
          <w:rFonts w:ascii="Arial" w:hAnsi="Arial" w:cs="Arial"/>
          <w:b/>
        </w:rPr>
      </w:pPr>
    </w:p>
    <w:tbl>
      <w:tblPr>
        <w:tblStyle w:val="TableGrid"/>
        <w:tblW w:w="0" w:type="auto"/>
        <w:tblLook w:val="00A0" w:firstRow="1" w:lastRow="0" w:firstColumn="1" w:lastColumn="0" w:noHBand="0" w:noVBand="0"/>
      </w:tblPr>
      <w:tblGrid>
        <w:gridCol w:w="2949"/>
        <w:gridCol w:w="7041"/>
        <w:gridCol w:w="2960"/>
      </w:tblGrid>
      <w:tr w:rsidR="001043C0" w:rsidRPr="0055278E" w14:paraId="101CED95" w14:textId="77777777" w:rsidTr="00FC3A1D">
        <w:trPr>
          <w:cantSplit/>
          <w:tblHeader/>
        </w:trPr>
        <w:tc>
          <w:tcPr>
            <w:tcW w:w="2988" w:type="dxa"/>
          </w:tcPr>
          <w:p w14:paraId="698118D5" w14:textId="77777777" w:rsidR="001043C0" w:rsidRPr="0055278E" w:rsidRDefault="001043C0" w:rsidP="001043C0">
            <w:pPr>
              <w:jc w:val="center"/>
              <w:rPr>
                <w:rFonts w:ascii="Arial" w:hAnsi="Arial" w:cs="Arial"/>
                <w:b/>
              </w:rPr>
            </w:pPr>
            <w:r w:rsidRPr="0055278E">
              <w:rPr>
                <w:rFonts w:ascii="Arial" w:hAnsi="Arial" w:cs="Arial"/>
                <w:b/>
              </w:rPr>
              <w:t>Standard</w:t>
            </w:r>
          </w:p>
        </w:tc>
        <w:tc>
          <w:tcPr>
            <w:tcW w:w="7200" w:type="dxa"/>
          </w:tcPr>
          <w:p w14:paraId="18A2A109" w14:textId="77777777" w:rsidR="001043C0" w:rsidRPr="0055278E" w:rsidRDefault="001043C0" w:rsidP="001043C0">
            <w:pPr>
              <w:jc w:val="center"/>
              <w:rPr>
                <w:rFonts w:ascii="Arial" w:hAnsi="Arial" w:cs="Arial"/>
                <w:b/>
              </w:rPr>
            </w:pPr>
            <w:r w:rsidRPr="0055278E">
              <w:rPr>
                <w:rFonts w:ascii="Arial" w:hAnsi="Arial" w:cs="Arial"/>
                <w:b/>
              </w:rPr>
              <w:t>Narrative Response</w:t>
            </w:r>
          </w:p>
        </w:tc>
        <w:tc>
          <w:tcPr>
            <w:tcW w:w="2988" w:type="dxa"/>
          </w:tcPr>
          <w:p w14:paraId="3208A133" w14:textId="77777777" w:rsidR="001043C0" w:rsidRPr="0055278E" w:rsidRDefault="001043C0" w:rsidP="001043C0">
            <w:pPr>
              <w:jc w:val="center"/>
              <w:rPr>
                <w:rFonts w:ascii="Arial" w:hAnsi="Arial" w:cs="Arial"/>
                <w:b/>
              </w:rPr>
            </w:pPr>
            <w:r w:rsidRPr="0055278E">
              <w:rPr>
                <w:rFonts w:ascii="Arial" w:hAnsi="Arial" w:cs="Arial"/>
                <w:b/>
              </w:rPr>
              <w:t>Documentation</w:t>
            </w:r>
          </w:p>
        </w:tc>
      </w:tr>
      <w:tr w:rsidR="001043C0" w:rsidRPr="0055278E" w14:paraId="5588FD26" w14:textId="77777777" w:rsidTr="00FC3A1D">
        <w:trPr>
          <w:cantSplit/>
        </w:trPr>
        <w:tc>
          <w:tcPr>
            <w:tcW w:w="2988" w:type="dxa"/>
          </w:tcPr>
          <w:p w14:paraId="40D32E9E"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The institution must verify, during the program or at its completion that the candidate has</w:t>
            </w:r>
          </w:p>
          <w:p w14:paraId="00B033CD" w14:textId="77777777" w:rsidR="00AC5491" w:rsidRPr="0055278E" w:rsidRDefault="00AC5491" w:rsidP="00AC5491">
            <w:pPr>
              <w:autoSpaceDE w:val="0"/>
              <w:autoSpaceDN w:val="0"/>
              <w:adjustRightInd w:val="0"/>
              <w:rPr>
                <w:rFonts w:ascii="Arial" w:hAnsi="Arial" w:cs="Arial"/>
              </w:rPr>
            </w:pPr>
            <w:r w:rsidRPr="0055278E">
              <w:rPr>
                <w:rFonts w:ascii="Arial" w:hAnsi="Arial" w:cs="Arial"/>
              </w:rPr>
              <w:t>attained, in listening, speaking, reading and writing a language proficiency level that is</w:t>
            </w:r>
          </w:p>
          <w:p w14:paraId="02BFEF22" w14:textId="77777777" w:rsidR="001043C0" w:rsidRPr="0055278E" w:rsidRDefault="00AC5491" w:rsidP="00E008AC">
            <w:pPr>
              <w:autoSpaceDE w:val="0"/>
              <w:autoSpaceDN w:val="0"/>
              <w:adjustRightInd w:val="0"/>
              <w:rPr>
                <w:rFonts w:ascii="Arial" w:hAnsi="Arial" w:cs="Arial"/>
              </w:rPr>
            </w:pPr>
            <w:r w:rsidRPr="0055278E">
              <w:rPr>
                <w:rFonts w:ascii="Arial" w:hAnsi="Arial" w:cs="Arial"/>
              </w:rPr>
              <w:t xml:space="preserve">equivalent to the passing standard on the appropriate CSET: LOTE language examination. </w:t>
            </w:r>
          </w:p>
        </w:tc>
        <w:tc>
          <w:tcPr>
            <w:tcW w:w="7200" w:type="dxa"/>
          </w:tcPr>
          <w:p w14:paraId="18458C8C" w14:textId="77777777" w:rsidR="001043C0" w:rsidRPr="0055278E" w:rsidRDefault="001043C0" w:rsidP="001043C0">
            <w:pPr>
              <w:jc w:val="center"/>
              <w:rPr>
                <w:rFonts w:ascii="Arial" w:hAnsi="Arial" w:cs="Arial"/>
                <w:b/>
              </w:rPr>
            </w:pPr>
          </w:p>
        </w:tc>
        <w:tc>
          <w:tcPr>
            <w:tcW w:w="2988" w:type="dxa"/>
          </w:tcPr>
          <w:p w14:paraId="3F2DA7BE" w14:textId="77777777" w:rsidR="001043C0" w:rsidRPr="0055278E" w:rsidRDefault="001043C0" w:rsidP="001043C0">
            <w:pPr>
              <w:jc w:val="center"/>
              <w:rPr>
                <w:rFonts w:ascii="Arial" w:hAnsi="Arial" w:cs="Arial"/>
                <w:b/>
              </w:rPr>
            </w:pPr>
          </w:p>
        </w:tc>
      </w:tr>
      <w:tr w:rsidR="001043C0" w:rsidRPr="00405694" w14:paraId="74D15504" w14:textId="77777777" w:rsidTr="00FC3A1D">
        <w:trPr>
          <w:cantSplit/>
        </w:trPr>
        <w:tc>
          <w:tcPr>
            <w:tcW w:w="2988" w:type="dxa"/>
          </w:tcPr>
          <w:p w14:paraId="03648A27" w14:textId="77777777" w:rsidR="001043C0" w:rsidRPr="00405694" w:rsidRDefault="00AC5491" w:rsidP="00AC5491">
            <w:pPr>
              <w:autoSpaceDE w:val="0"/>
              <w:autoSpaceDN w:val="0"/>
              <w:adjustRightInd w:val="0"/>
              <w:rPr>
                <w:rFonts w:ascii="Arial" w:hAnsi="Arial" w:cs="Arial"/>
              </w:rPr>
            </w:pPr>
            <w:r>
              <w:rPr>
                <w:rFonts w:ascii="TimesNewRomanPSMT" w:hAnsi="TimesNewRomanPSMT" w:cs="TimesNewRomanPSMT"/>
              </w:rPr>
              <w:t>The program creates clear guidelines by which the candidate will be assessed.</w:t>
            </w:r>
          </w:p>
        </w:tc>
        <w:tc>
          <w:tcPr>
            <w:tcW w:w="7200" w:type="dxa"/>
          </w:tcPr>
          <w:p w14:paraId="4314AA7F" w14:textId="77777777" w:rsidR="001043C0" w:rsidRPr="00405694" w:rsidRDefault="001043C0" w:rsidP="001043C0">
            <w:pPr>
              <w:jc w:val="center"/>
              <w:rPr>
                <w:rFonts w:ascii="Arial" w:hAnsi="Arial"/>
                <w:b/>
              </w:rPr>
            </w:pPr>
          </w:p>
        </w:tc>
        <w:tc>
          <w:tcPr>
            <w:tcW w:w="2988" w:type="dxa"/>
          </w:tcPr>
          <w:p w14:paraId="0ADDAA0C" w14:textId="77777777" w:rsidR="001043C0" w:rsidRPr="00405694" w:rsidRDefault="001043C0" w:rsidP="001043C0">
            <w:pPr>
              <w:jc w:val="center"/>
              <w:rPr>
                <w:rFonts w:ascii="Arial" w:hAnsi="Arial"/>
                <w:b/>
              </w:rPr>
            </w:pPr>
          </w:p>
        </w:tc>
      </w:tr>
    </w:tbl>
    <w:p w14:paraId="1DB75F4F" w14:textId="621A8046" w:rsidR="001043C0" w:rsidRPr="009A2B0E" w:rsidRDefault="001043C0" w:rsidP="00A51CAF">
      <w:pPr>
        <w:rPr>
          <w:rFonts w:ascii="Arial" w:hAnsi="Arial"/>
          <w:b/>
        </w:rPr>
      </w:pPr>
    </w:p>
    <w:sectPr w:rsidR="001043C0" w:rsidRPr="009A2B0E" w:rsidSect="001043C0">
      <w:foot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88AD" w14:textId="77777777" w:rsidR="00855004" w:rsidRDefault="00855004">
      <w:r>
        <w:separator/>
      </w:r>
    </w:p>
  </w:endnote>
  <w:endnote w:type="continuationSeparator" w:id="0">
    <w:p w14:paraId="42873DA7" w14:textId="77777777" w:rsidR="00855004" w:rsidRDefault="0085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40F9" w14:textId="77777777" w:rsidR="0055278E" w:rsidRDefault="0055278E">
    <w:pPr>
      <w:pStyle w:val="Footer"/>
      <w:jc w:val="right"/>
    </w:pPr>
    <w:r>
      <w:fldChar w:fldCharType="begin"/>
    </w:r>
    <w:r>
      <w:instrText xml:space="preserve"> PAGE   \* MERGEFORMAT </w:instrText>
    </w:r>
    <w:r>
      <w:fldChar w:fldCharType="separate"/>
    </w:r>
    <w:r>
      <w:rPr>
        <w:noProof/>
      </w:rPr>
      <w:t>12</w:t>
    </w:r>
    <w:r>
      <w:rPr>
        <w:noProof/>
      </w:rPr>
      <w:fldChar w:fldCharType="end"/>
    </w:r>
  </w:p>
  <w:p w14:paraId="116D4B94" w14:textId="77777777" w:rsidR="0055278E" w:rsidRDefault="0055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E565" w14:textId="77777777" w:rsidR="00855004" w:rsidRDefault="00855004">
      <w:r>
        <w:separator/>
      </w:r>
    </w:p>
  </w:footnote>
  <w:footnote w:type="continuationSeparator" w:id="0">
    <w:p w14:paraId="5E4B330B" w14:textId="77777777" w:rsidR="00855004" w:rsidRDefault="00855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46FC7"/>
    <w:rsid w:val="00073851"/>
    <w:rsid w:val="001043C0"/>
    <w:rsid w:val="00143BD1"/>
    <w:rsid w:val="001551BD"/>
    <w:rsid w:val="001B77FC"/>
    <w:rsid w:val="003F0856"/>
    <w:rsid w:val="0055278E"/>
    <w:rsid w:val="00643F9D"/>
    <w:rsid w:val="006E12E9"/>
    <w:rsid w:val="0071760B"/>
    <w:rsid w:val="00855004"/>
    <w:rsid w:val="009A2B0E"/>
    <w:rsid w:val="00A51CAF"/>
    <w:rsid w:val="00A535BD"/>
    <w:rsid w:val="00AC07B0"/>
    <w:rsid w:val="00AC5491"/>
    <w:rsid w:val="00B87281"/>
    <w:rsid w:val="00C53E7B"/>
    <w:rsid w:val="00CF22F6"/>
    <w:rsid w:val="00E008AC"/>
    <w:rsid w:val="00FC3A1D"/>
    <w:rsid w:val="00FC49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53BD9B"/>
  <w15:chartTrackingRefBased/>
  <w15:docId w15:val="{6C1EBA81-D3C1-4D03-AAAA-3DDEDDAD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2E9"/>
    <w:rPr>
      <w:rFonts w:ascii="Tahoma" w:hAnsi="Tahoma"/>
      <w:sz w:val="24"/>
      <w:szCs w:val="24"/>
    </w:rPr>
  </w:style>
  <w:style w:type="paragraph" w:styleId="Heading1">
    <w:name w:val="heading 1"/>
    <w:basedOn w:val="Header"/>
    <w:next w:val="Normal"/>
    <w:link w:val="Heading1Char"/>
    <w:autoRedefine/>
    <w:uiPriority w:val="9"/>
    <w:qFormat/>
    <w:rsid w:val="00A51CAF"/>
    <w:pPr>
      <w:jc w:val="center"/>
      <w:outlineLvl w:val="0"/>
    </w:pPr>
    <w:rPr>
      <w:b/>
      <w:sz w:val="32"/>
    </w:rPr>
  </w:style>
  <w:style w:type="paragraph" w:styleId="Heading2">
    <w:name w:val="heading 2"/>
    <w:next w:val="Normal"/>
    <w:link w:val="Heading2Char"/>
    <w:autoRedefine/>
    <w:uiPriority w:val="9"/>
    <w:unhideWhenUsed/>
    <w:qFormat/>
    <w:rsid w:val="00FC3A1D"/>
    <w:pPr>
      <w:spacing w:after="320"/>
      <w:jc w:val="center"/>
      <w:outlineLvl w:val="1"/>
    </w:pPr>
    <w:rPr>
      <w:rFonts w:ascii="Arial" w:eastAsiaTheme="majorEastAsia" w:hAnsi="Arial"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5694"/>
    <w:pPr>
      <w:tabs>
        <w:tab w:val="center" w:pos="4320"/>
        <w:tab w:val="right" w:pos="8640"/>
      </w:tabs>
    </w:pPr>
  </w:style>
  <w:style w:type="character" w:customStyle="1" w:styleId="HeaderChar">
    <w:name w:val="Header Char"/>
    <w:link w:val="Header"/>
    <w:uiPriority w:val="99"/>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character" w:styleId="Hyperlink">
    <w:name w:val="Hyperlink"/>
    <w:uiPriority w:val="99"/>
    <w:unhideWhenUsed/>
    <w:rsid w:val="0071760B"/>
    <w:rPr>
      <w:color w:val="0000FF"/>
      <w:u w:val="single"/>
    </w:rPr>
  </w:style>
  <w:style w:type="character" w:styleId="FollowedHyperlink">
    <w:name w:val="FollowedHyperlink"/>
    <w:uiPriority w:val="99"/>
    <w:semiHidden/>
    <w:unhideWhenUsed/>
    <w:rsid w:val="00E008AC"/>
    <w:rPr>
      <w:color w:val="800080"/>
      <w:u w:val="single"/>
    </w:rPr>
  </w:style>
  <w:style w:type="character" w:customStyle="1" w:styleId="Heading1Char">
    <w:name w:val="Heading 1 Char"/>
    <w:basedOn w:val="DefaultParagraphFont"/>
    <w:link w:val="Heading1"/>
    <w:uiPriority w:val="9"/>
    <w:rsid w:val="00A51CAF"/>
    <w:rPr>
      <w:rFonts w:ascii="Tahoma" w:hAnsi="Tahoma"/>
      <w:b/>
      <w:sz w:val="32"/>
      <w:szCs w:val="24"/>
    </w:rPr>
  </w:style>
  <w:style w:type="table" w:styleId="TableGridLight">
    <w:name w:val="Grid Table Light"/>
    <w:basedOn w:val="TableNormal"/>
    <w:uiPriority w:val="40"/>
    <w:rsid w:val="006E12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FC3A1D"/>
    <w:rPr>
      <w:rFonts w:ascii="Arial" w:eastAsiaTheme="majorEastAsia" w:hAnsi="Arial"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Bilingual-Authorization-Handbook.pdf" TargetMode="External"/><Relationship Id="rId3" Type="http://schemas.openxmlformats.org/officeDocument/2006/relationships/webSettings" Target="webSettings.xml"/><Relationship Id="rId7" Type="http://schemas.openxmlformats.org/officeDocument/2006/relationships/hyperlink" Target="http://www.cset.nesinc.com/CS_SMR_opener.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c.ca.gov/educator-prep/standards/Bilingual-Authorization-Handboo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Bilingual Authorization Program Standards</vt:lpstr>
    </vt:vector>
  </TitlesOfParts>
  <Company/>
  <LinksUpToDate>false</LinksUpToDate>
  <CharactersWithSpaces>8511</CharactersWithSpaces>
  <SharedDoc>false</SharedDoc>
  <HLinks>
    <vt:vector size="18" baseType="variant">
      <vt:variant>
        <vt:i4>3276913</vt:i4>
      </vt:variant>
      <vt:variant>
        <vt:i4>6</vt:i4>
      </vt:variant>
      <vt:variant>
        <vt:i4>0</vt:i4>
      </vt:variant>
      <vt:variant>
        <vt:i4>5</vt:i4>
      </vt:variant>
      <vt:variant>
        <vt:lpwstr>http://www.ctc.ca.gov/educator-prep/standards/Bilingual-Authorization-Handbook.pdf</vt:lpwstr>
      </vt:variant>
      <vt:variant>
        <vt:lpwstr/>
      </vt:variant>
      <vt:variant>
        <vt:i4>1114122</vt:i4>
      </vt:variant>
      <vt:variant>
        <vt:i4>3</vt:i4>
      </vt:variant>
      <vt:variant>
        <vt:i4>0</vt:i4>
      </vt:variant>
      <vt:variant>
        <vt:i4>5</vt:i4>
      </vt:variant>
      <vt:variant>
        <vt:lpwstr>http://www.cset.nesinc.com/CS_SMR_opener.asp</vt:lpwstr>
      </vt:variant>
      <vt:variant>
        <vt:lpwstr/>
      </vt:variant>
      <vt:variant>
        <vt:i4>3276913</vt:i4>
      </vt:variant>
      <vt:variant>
        <vt:i4>0</vt:i4>
      </vt:variant>
      <vt:variant>
        <vt:i4>0</vt:i4>
      </vt:variant>
      <vt:variant>
        <vt:i4>5</vt:i4>
      </vt:variant>
      <vt:variant>
        <vt:lpwstr>http://www.ctc.ca.gov/educator-prep/standards/Bilingual-Authorization-Handbook.pdf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Authorization Program Standards</dc:title>
  <dc:subject/>
  <dc:creator>Gay Roby</dc:creator>
  <cp:keywords/>
  <cp:lastModifiedBy>Campos, Carl</cp:lastModifiedBy>
  <cp:revision>3</cp:revision>
  <dcterms:created xsi:type="dcterms:W3CDTF">2020-12-07T21:31:00Z</dcterms:created>
  <dcterms:modified xsi:type="dcterms:W3CDTF">2020-12-07T21:34:00Z</dcterms:modified>
</cp:coreProperties>
</file>