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C96B" w14:textId="50B70A9C" w:rsidR="00A01BF0" w:rsidRPr="008671B8" w:rsidRDefault="008C3C6D" w:rsidP="008C3C6D">
      <w:pPr>
        <w:rPr>
          <w:rFonts w:eastAsia="Calibri" w:cs="Calibri"/>
          <w:b/>
          <w:bCs/>
          <w:strike/>
        </w:rPr>
      </w:pPr>
      <w:r w:rsidRPr="00FA284F">
        <w:rPr>
          <w:rFonts w:eastAsia="Calibri" w:cs="Calibri"/>
        </w:rPr>
        <w:t xml:space="preserve">The Commission on Teacher Credentialing has illustrated changes to the original text in the following manner: </w:t>
      </w:r>
      <w:r w:rsidR="008671B8">
        <w:rPr>
          <w:rFonts w:eastAsia="Calibri" w:cs="Calibri"/>
        </w:rPr>
        <w:t xml:space="preserve">Text </w:t>
      </w:r>
      <w:r w:rsidR="008671B8" w:rsidRPr="008671B8">
        <w:rPr>
          <w:rFonts w:eastAsia="Calibri" w:cs="Calibri"/>
        </w:rPr>
        <w:t xml:space="preserve">proposed </w:t>
      </w:r>
      <w:r w:rsidR="00A95B4E">
        <w:rPr>
          <w:rFonts w:eastAsia="Calibri" w:cs="Calibri"/>
        </w:rPr>
        <w:t xml:space="preserve">in this notice </w:t>
      </w:r>
      <w:r w:rsidR="008671B8" w:rsidRPr="008671B8">
        <w:rPr>
          <w:rFonts w:eastAsia="Calibri" w:cs="Calibri"/>
        </w:rPr>
        <w:t xml:space="preserve">to be deleted is in </w:t>
      </w:r>
      <w:r w:rsidR="008671B8" w:rsidRPr="008671B8">
        <w:rPr>
          <w:rFonts w:eastAsia="Calibri" w:cs="Calibri"/>
          <w:b/>
          <w:bCs/>
          <w:strike/>
        </w:rPr>
        <w:t>bold and strikeout</w:t>
      </w:r>
      <w:r w:rsidR="00A95B4E">
        <w:rPr>
          <w:rFonts w:eastAsia="Calibri" w:cs="Calibri"/>
        </w:rPr>
        <w:t>; no text is proposed to be added.</w:t>
      </w:r>
    </w:p>
    <w:p w14:paraId="2D55AEA5" w14:textId="01BEC3A9" w:rsidR="00EA41CF" w:rsidRDefault="008B57E4" w:rsidP="009C2860">
      <w:pPr>
        <w:pStyle w:val="Heading1"/>
      </w:pPr>
      <w:r>
        <w:t xml:space="preserve">15-Day </w:t>
      </w:r>
      <w:r w:rsidR="00EA41CF" w:rsidRPr="009C2860">
        <w:t xml:space="preserve">Notice of </w:t>
      </w:r>
      <w:r w:rsidR="00AB5DEA">
        <w:t xml:space="preserve">Modifications to </w:t>
      </w:r>
      <w:r w:rsidR="00EA41CF" w:rsidRPr="009C2860">
        <w:t xml:space="preserve">Proposed Rulemaking: </w:t>
      </w:r>
      <w:r w:rsidR="000B1519" w:rsidRPr="009C2860">
        <w:t xml:space="preserve">Title 5. Education, Division 8 Commission on Teacher Credentialing </w:t>
      </w:r>
    </w:p>
    <w:p w14:paraId="4B19A969" w14:textId="77777777" w:rsidR="009C2860" w:rsidRPr="009C2860" w:rsidRDefault="009C2860" w:rsidP="009C2860"/>
    <w:p w14:paraId="32850733" w14:textId="5289D7B9" w:rsidR="00F72177" w:rsidRPr="009C2860" w:rsidRDefault="005E7C98" w:rsidP="009C2860">
      <w:pPr>
        <w:pStyle w:val="Heading2"/>
      </w:pPr>
      <w:r>
        <w:t xml:space="preserve">Modifications to </w:t>
      </w:r>
      <w:r w:rsidR="003F3F70">
        <w:t xml:space="preserve">Proposed </w:t>
      </w:r>
      <w:r w:rsidR="00F72177" w:rsidRPr="009C2860">
        <w:t xml:space="preserve">Amendments to California Code of Regulations, Title 5, </w:t>
      </w:r>
      <w:r w:rsidR="00A36F11" w:rsidRPr="00A36F11">
        <w:t>Pertaining Pupil Personnel Services Credential</w:t>
      </w:r>
      <w:r w:rsidR="008671B8">
        <w:t>s</w:t>
      </w:r>
      <w:r w:rsidR="00802159">
        <w:t xml:space="preserve"> </w:t>
      </w:r>
    </w:p>
    <w:p w14:paraId="3471F224" w14:textId="77777777" w:rsidR="00947087" w:rsidRPr="008B21C1" w:rsidRDefault="00947087" w:rsidP="005A0F7C"/>
    <w:p w14:paraId="6527D654" w14:textId="3538667E" w:rsidR="00A168E2" w:rsidRDefault="00C24AB4" w:rsidP="00375F2C">
      <w:r>
        <w:t>Notice is Hereby Given, pursuant to the requirements of Government Code section 11346.8(c) and section 44 of Ti</w:t>
      </w:r>
      <w:r w:rsidR="000C59EF">
        <w:t>t</w:t>
      </w:r>
      <w:r>
        <w:t xml:space="preserve">le 1 of the California Code of Regulations, that the Commission </w:t>
      </w:r>
      <w:r w:rsidR="00D63417">
        <w:t>h</w:t>
      </w:r>
      <w:r>
        <w:t xml:space="preserve">as proposed the following </w:t>
      </w:r>
      <w:r w:rsidR="00886C60">
        <w:t>modifications to the proposed regulations</w:t>
      </w:r>
      <w:r w:rsidR="00973B84">
        <w:t>.</w:t>
      </w:r>
      <w:r w:rsidR="003022F3">
        <w:t xml:space="preserve"> </w:t>
      </w:r>
      <w:r w:rsidR="00973B84">
        <w:t>Any person who wishes to comment on the proposed modification to the text of the regulations</w:t>
      </w:r>
      <w:r w:rsidR="007F6A36">
        <w:t xml:space="preserve"> may do so by submitting written comments postmarked beginning </w:t>
      </w:r>
      <w:r w:rsidR="00CF220E">
        <w:t>July 2, 202</w:t>
      </w:r>
      <w:r w:rsidR="006434A1">
        <w:t>1,</w:t>
      </w:r>
      <w:r w:rsidR="007F6A36">
        <w:t xml:space="preserve"> to the person </w:t>
      </w:r>
      <w:r w:rsidR="005E2817">
        <w:t>indicated in the Contact Persons/Further Information section of this 15-Day Notice</w:t>
      </w:r>
      <w:r w:rsidR="007F6A36">
        <w:t>.</w:t>
      </w:r>
      <w:r w:rsidR="006243C5">
        <w:t xml:space="preserve"> </w:t>
      </w:r>
    </w:p>
    <w:p w14:paraId="3A59BDEE" w14:textId="77777777" w:rsidR="00A168E2" w:rsidRDefault="00A168E2" w:rsidP="00375F2C"/>
    <w:p w14:paraId="1816D965" w14:textId="1B5B9D07" w:rsidR="00375F2C" w:rsidRPr="008671B8" w:rsidRDefault="00886C60" w:rsidP="00375F2C">
      <w:pPr>
        <w:rPr>
          <w:rFonts w:eastAsia="Calibri" w:cs="Calibri"/>
          <w:b/>
          <w:bCs/>
          <w:strike/>
        </w:rPr>
      </w:pPr>
      <w:r>
        <w:t xml:space="preserve">A 45-day notice was posted in October of 2020 and the public comment period closed on December 14, 2020. No comments were received, and a public hearing was not requested or held. A 15-day notice was posted in March of 2021 and no comments were received. </w:t>
      </w:r>
      <w:r w:rsidR="00375F2C">
        <w:rPr>
          <w:rFonts w:eastAsia="Calibri" w:cs="Calibri"/>
        </w:rPr>
        <w:t xml:space="preserve">Text </w:t>
      </w:r>
      <w:r w:rsidR="00375F2C" w:rsidRPr="008671B8">
        <w:rPr>
          <w:rFonts w:eastAsia="Calibri" w:cs="Calibri"/>
        </w:rPr>
        <w:t xml:space="preserve">proposed to be deleted is in </w:t>
      </w:r>
      <w:r w:rsidR="00375F2C" w:rsidRPr="008671B8">
        <w:rPr>
          <w:rFonts w:eastAsia="Calibri" w:cs="Calibri"/>
          <w:b/>
          <w:bCs/>
          <w:strike/>
        </w:rPr>
        <w:t>bold and strikeout</w:t>
      </w:r>
      <w:r w:rsidR="00A168E2">
        <w:rPr>
          <w:rFonts w:eastAsia="Calibri" w:cs="Calibri"/>
        </w:rPr>
        <w:t>, no additions are proposed</w:t>
      </w:r>
      <w:r w:rsidR="00A95B4E">
        <w:rPr>
          <w:rFonts w:eastAsia="Calibri" w:cs="Calibri"/>
        </w:rPr>
        <w:t>.</w:t>
      </w:r>
    </w:p>
    <w:p w14:paraId="7E261392" w14:textId="77777777" w:rsidR="006243C5" w:rsidRDefault="006243C5" w:rsidP="005A0F7C"/>
    <w:p w14:paraId="15C9BB95" w14:textId="146C5B81" w:rsidR="006243C5" w:rsidRDefault="00A56178" w:rsidP="005A0F7C">
      <w:r>
        <w:t xml:space="preserve">Any written comments are to be restricted to </w:t>
      </w:r>
      <w:r w:rsidR="00A95B4E">
        <w:t>the</w:t>
      </w:r>
      <w:r>
        <w:t xml:space="preserve"> modifications to the enclosed language. The Commission is not required to respond to comments received in response to this notice on other aspects of the proposed regulations. All written comments received or postmarked by</w:t>
      </w:r>
      <w:r w:rsidR="00090A0C">
        <w:t xml:space="preserve"> </w:t>
      </w:r>
      <w:r w:rsidR="00CF220E">
        <w:t>July 19</w:t>
      </w:r>
      <w:r w:rsidR="00090A0C">
        <w:t xml:space="preserve">, </w:t>
      </w:r>
      <w:proofErr w:type="gramStart"/>
      <w:r>
        <w:t>20</w:t>
      </w:r>
      <w:r w:rsidR="00234682">
        <w:t>21</w:t>
      </w:r>
      <w:proofErr w:type="gramEnd"/>
      <w:r>
        <w:t xml:space="preserve"> which pertain to the modified text of the proposed regulations provided in this notice will be reviewed and responded to by Commission staff as part of the compilation of the rulemaking file.</w:t>
      </w:r>
    </w:p>
    <w:p w14:paraId="2EC34B12" w14:textId="1523C90F" w:rsidR="00061C0B" w:rsidRDefault="00061C0B" w:rsidP="005A0F7C"/>
    <w:p w14:paraId="18E4FDEC" w14:textId="302B926E" w:rsidR="00061C0B" w:rsidRDefault="00061C0B" w:rsidP="00061C0B">
      <w:pPr>
        <w:pStyle w:val="Heading3"/>
      </w:pPr>
      <w:r>
        <w:t xml:space="preserve">Summary of </w:t>
      </w:r>
      <w:r w:rsidR="00F9644C">
        <w:t>Modifications</w:t>
      </w:r>
    </w:p>
    <w:p w14:paraId="0588FB0F" w14:textId="1BFF2F78" w:rsidR="008F31BC" w:rsidRDefault="00FC0C65" w:rsidP="008F31BC">
      <w:pPr>
        <w:rPr>
          <w:bCs/>
        </w:rPr>
      </w:pPr>
      <w:r>
        <w:rPr>
          <w:bCs/>
        </w:rPr>
        <w:t xml:space="preserve">The Commission is proposing repealing section 80632.5 which was unintentionally omitted from the </w:t>
      </w:r>
      <w:r w:rsidR="00A168E2">
        <w:rPr>
          <w:bCs/>
        </w:rPr>
        <w:t xml:space="preserve">text included with the </w:t>
      </w:r>
      <w:r>
        <w:rPr>
          <w:bCs/>
        </w:rPr>
        <w:t>original 45-day notice</w:t>
      </w:r>
      <w:r w:rsidR="00A168E2">
        <w:rPr>
          <w:bCs/>
        </w:rPr>
        <w:t>.</w:t>
      </w:r>
      <w:r w:rsidR="008F31BC" w:rsidRPr="008F31BC">
        <w:rPr>
          <w:bCs/>
        </w:rPr>
        <w:t xml:space="preserve"> </w:t>
      </w:r>
      <w:r w:rsidR="008F31BC">
        <w:rPr>
          <w:bCs/>
        </w:rPr>
        <w:t xml:space="preserve">In the original 45-day notice for this regulatory packet the language in the notice included the repeal of section 80632.5, however that section was unintentionally omitted from the noticed proposed text. Proposed text is available at the end of this notice. Repealing this section will repeal the outdated Child Welfare and Attendance educator preparation program standards.  Child Welfare and Attendance preparation is now embedded within each set of the new standards proposed in section 80614.  Candidates in a </w:t>
      </w:r>
      <w:r w:rsidR="005346E9">
        <w:rPr>
          <w:bCs/>
        </w:rPr>
        <w:t>Pupil Personnel Services credential program</w:t>
      </w:r>
      <w:r w:rsidR="008F31BC">
        <w:rPr>
          <w:bCs/>
        </w:rPr>
        <w:t xml:space="preserve"> may elect to complete the additional requirements to earn both </w:t>
      </w:r>
      <w:r w:rsidR="005346E9">
        <w:rPr>
          <w:bCs/>
        </w:rPr>
        <w:t xml:space="preserve">a School Psychology, School Counseling, or School Social Work credential </w:t>
      </w:r>
      <w:r w:rsidR="008F31BC">
        <w:rPr>
          <w:bCs/>
        </w:rPr>
        <w:t xml:space="preserve">and </w:t>
      </w:r>
      <w:r w:rsidR="00CF220E">
        <w:rPr>
          <w:bCs/>
        </w:rPr>
        <w:t>the Child</w:t>
      </w:r>
      <w:r w:rsidR="008F31BC">
        <w:rPr>
          <w:bCs/>
        </w:rPr>
        <w:t xml:space="preserve"> Welfare and Attendance</w:t>
      </w:r>
      <w:r w:rsidR="005346E9">
        <w:rPr>
          <w:bCs/>
        </w:rPr>
        <w:t xml:space="preserve"> authorization</w:t>
      </w:r>
      <w:r w:rsidR="008F31BC">
        <w:rPr>
          <w:bCs/>
        </w:rPr>
        <w:t xml:space="preserve">. </w:t>
      </w:r>
    </w:p>
    <w:p w14:paraId="772DFA33" w14:textId="77777777" w:rsidR="00947087" w:rsidRPr="008B21C1" w:rsidRDefault="00947087" w:rsidP="005A0F7C"/>
    <w:p w14:paraId="39E463C6" w14:textId="77777777" w:rsidR="00A800A9" w:rsidRPr="009C2860" w:rsidRDefault="00A800A9" w:rsidP="009C2860">
      <w:pPr>
        <w:pStyle w:val="Heading3"/>
      </w:pPr>
      <w:r w:rsidRPr="009C2860">
        <w:lastRenderedPageBreak/>
        <w:t>Written Comment Period</w:t>
      </w:r>
    </w:p>
    <w:p w14:paraId="37778744" w14:textId="4448F2C9" w:rsidR="00A32480" w:rsidRDefault="00A800A9" w:rsidP="005A0F7C">
      <w:r>
        <w:t xml:space="preserve">Any interested person, or his or her authorized representative, may submit written comments by fax, through the mail, or by email relevant to the proposed action. The written comment period closes at </w:t>
      </w:r>
      <w:r w:rsidR="006243C5">
        <w:t xml:space="preserve">midnight on </w:t>
      </w:r>
      <w:r w:rsidR="00CF220E">
        <w:t>July 19</w:t>
      </w:r>
      <w:r w:rsidR="00EB31DD">
        <w:t>, 202</w:t>
      </w:r>
      <w:r w:rsidR="004A70EA">
        <w:t>1</w:t>
      </w:r>
      <w:r>
        <w:t>. Comments must be received by that time or may be submitted at the public hearing</w:t>
      </w:r>
      <w:r w:rsidR="00566AAB">
        <w:t>, should one be requested</w:t>
      </w:r>
      <w:r>
        <w:t>.</w:t>
      </w:r>
      <w:r w:rsidR="00566AAB">
        <w:t xml:space="preserve"> Interested parties </w:t>
      </w:r>
      <w:r>
        <w:t xml:space="preserve">may fax </w:t>
      </w:r>
      <w:r w:rsidR="00566AAB">
        <w:t>their</w:t>
      </w:r>
      <w:r>
        <w:t xml:space="preserve"> response to (916) 327-3165; write to the Commission on Teacher Credentialing, attn. </w:t>
      </w:r>
      <w:r w:rsidR="00566AAB">
        <w:t>Joshua Speaks</w:t>
      </w:r>
      <w:r>
        <w:t>, 1900 Capitol Avenue, Sacramento, California 95811; or submit a</w:t>
      </w:r>
      <w:r w:rsidR="00F16530">
        <w:t xml:space="preserve">n email to </w:t>
      </w:r>
      <w:hyperlink r:id="rId11">
        <w:r w:rsidR="00566AAB" w:rsidRPr="49DDD02A">
          <w:rPr>
            <w:rStyle w:val="Hyperlink"/>
          </w:rPr>
          <w:t>JSpeaks@ctc.ca.gov</w:t>
        </w:r>
      </w:hyperlink>
      <w:r w:rsidR="00F16530">
        <w:t xml:space="preserve"> or </w:t>
      </w:r>
      <w:r w:rsidR="00566AAB">
        <w:t xml:space="preserve">Kathryn Taylor at </w:t>
      </w:r>
      <w:hyperlink r:id="rId12">
        <w:r w:rsidR="00566AAB" w:rsidRPr="49DDD02A">
          <w:rPr>
            <w:rStyle w:val="Hyperlink"/>
          </w:rPr>
          <w:t>Kathryn.Taylor@ctc.ca.gov</w:t>
        </w:r>
      </w:hyperlink>
      <w:r w:rsidR="00566AAB">
        <w:t xml:space="preserve">. </w:t>
      </w:r>
    </w:p>
    <w:p w14:paraId="0F291F5B" w14:textId="77777777" w:rsidR="004B6535" w:rsidRPr="00940017" w:rsidRDefault="004B6535" w:rsidP="005A0F7C"/>
    <w:p w14:paraId="7F8D0FD8" w14:textId="03D2A01C" w:rsidR="00A800A9" w:rsidRPr="00793414" w:rsidRDefault="00A800A9" w:rsidP="009C2860">
      <w:pPr>
        <w:pStyle w:val="Heading3"/>
      </w:pPr>
      <w:r w:rsidRPr="00793414">
        <w:t>Contact Person</w:t>
      </w:r>
      <w:r w:rsidR="00C0707A">
        <w:t>s</w:t>
      </w:r>
      <w:r w:rsidRPr="00793414">
        <w:t>/Further Information</w:t>
      </w:r>
    </w:p>
    <w:p w14:paraId="2CA4A9B5" w14:textId="72FC69A7" w:rsidR="00B2039A" w:rsidRPr="00264914" w:rsidRDefault="00B2039A" w:rsidP="00B2039A">
      <w:r w:rsidRPr="00264914">
        <w:t xml:space="preserve">General or substantive inquiries concerning the proposed action may be directed to </w:t>
      </w:r>
      <w:r>
        <w:t>Joshua Speaks</w:t>
      </w:r>
      <w:r w:rsidRPr="00264914">
        <w:t xml:space="preserve"> by telephone at (916) </w:t>
      </w:r>
      <w:r>
        <w:t>327-5339</w:t>
      </w:r>
      <w:r w:rsidRPr="00264914">
        <w:t>, by mail at Commission on Teacher Credentialing, 1900 Capitol Avenue, Sacramento, CA 95811, or by email to</w:t>
      </w:r>
      <w:r w:rsidRPr="003658D5">
        <w:t xml:space="preserve"> Joshua Speaks (</w:t>
      </w:r>
      <w:hyperlink r:id="rId13" w:history="1">
        <w:r w:rsidRPr="003658D5">
          <w:rPr>
            <w:color w:val="0000FF"/>
            <w:u w:val="single"/>
          </w:rPr>
          <w:t>JSpeaks@ctc.ca.gov</w:t>
        </w:r>
      </w:hyperlink>
      <w:r w:rsidRPr="003658D5">
        <w:t>)</w:t>
      </w:r>
      <w:r>
        <w:t xml:space="preserve"> or</w:t>
      </w:r>
      <w:r w:rsidRPr="003658D5">
        <w:t xml:space="preserve"> </w:t>
      </w:r>
      <w:r w:rsidRPr="00264914">
        <w:t>Kathryn Taylor (</w:t>
      </w:r>
      <w:hyperlink r:id="rId14" w:history="1">
        <w:r w:rsidRPr="003658D5">
          <w:rPr>
            <w:color w:val="0000FF"/>
            <w:u w:val="single"/>
          </w:rPr>
          <w:t>Kathryn.Taylor@ctc.ca.gov</w:t>
        </w:r>
      </w:hyperlink>
      <w:r w:rsidRPr="003658D5">
        <w:t>)</w:t>
      </w:r>
      <w:r>
        <w:t>.</w:t>
      </w:r>
      <w:r w:rsidRPr="003658D5">
        <w:t xml:space="preserve">  General question inquiries may also be directed to the addresses mentioned above. Upon request, a copy of the express terms of the proposed action and a copy of the Initial Statement of Reasons will be made available. This information is also available on the </w:t>
      </w:r>
      <w:hyperlink r:id="rId15" w:history="1">
        <w:r w:rsidRPr="007E1DEF">
          <w:rPr>
            <w:rStyle w:val="Hyperlink"/>
          </w:rPr>
          <w:t xml:space="preserve">Commission’s </w:t>
        </w:r>
        <w:r w:rsidR="007E1DEF" w:rsidRPr="007E1DEF">
          <w:rPr>
            <w:rStyle w:val="Hyperlink"/>
          </w:rPr>
          <w:t xml:space="preserve">rulemaking </w:t>
        </w:r>
        <w:r w:rsidRPr="007E1DEF">
          <w:rPr>
            <w:rStyle w:val="Hyperlink"/>
          </w:rPr>
          <w:t>website</w:t>
        </w:r>
      </w:hyperlink>
      <w:r w:rsidRPr="00264914">
        <w:t>. In addition, all the information on which this proposal is based is available for inspection and copying.</w:t>
      </w:r>
    </w:p>
    <w:p w14:paraId="28B60648" w14:textId="77777777" w:rsidR="00A800A9" w:rsidRPr="00110ADD" w:rsidRDefault="00A800A9" w:rsidP="005A0F7C"/>
    <w:p w14:paraId="23F7E14F" w14:textId="77777777" w:rsidR="00FC0C65" w:rsidRDefault="00FC0C65" w:rsidP="00FC0C65">
      <w:pPr>
        <w:pStyle w:val="Heading3"/>
      </w:pPr>
      <w:r>
        <w:t>Documents Relied Upon in Preparing 15-Day Notice</w:t>
      </w:r>
    </w:p>
    <w:p w14:paraId="778B66A4" w14:textId="77777777" w:rsidR="00FC0C65" w:rsidRDefault="00FC0C65" w:rsidP="00FC0C65">
      <w:pPr>
        <w:rPr>
          <w:highlight w:val="yellow"/>
        </w:rPr>
      </w:pPr>
      <w:r>
        <w:t>None</w:t>
      </w:r>
    </w:p>
    <w:p w14:paraId="6CD4626F" w14:textId="77777777" w:rsidR="00FC0C65" w:rsidRDefault="00FC0C65" w:rsidP="009C2860">
      <w:pPr>
        <w:pStyle w:val="Heading3"/>
      </w:pPr>
    </w:p>
    <w:p w14:paraId="6A1BBB5D" w14:textId="6D8C0A84" w:rsidR="00A800A9" w:rsidRPr="00110ADD" w:rsidRDefault="00A800A9" w:rsidP="009C2860">
      <w:pPr>
        <w:pStyle w:val="Heading3"/>
      </w:pPr>
      <w:r w:rsidRPr="00110ADD">
        <w:t xml:space="preserve">Availability of Documents on the Internet </w:t>
      </w:r>
    </w:p>
    <w:p w14:paraId="695DDB68" w14:textId="1F63BD69" w:rsidR="008F31BC" w:rsidRDefault="00A800A9" w:rsidP="005A0F7C">
      <w:pPr>
        <w:sectPr w:rsidR="008F31BC" w:rsidSect="00E21FBC">
          <w:headerReference w:type="default" r:id="rId16"/>
          <w:pgSz w:w="12240" w:h="15840" w:code="1"/>
          <w:pgMar w:top="1440" w:right="1080" w:bottom="1440" w:left="1080" w:header="720" w:footer="720" w:gutter="0"/>
          <w:cols w:space="720"/>
          <w:titlePg/>
          <w:docGrid w:linePitch="360"/>
        </w:sectPr>
      </w:pPr>
      <w:r w:rsidRPr="00110ADD">
        <w:t>Copies of the Notice of Proposed Rulemaking, the Initial Statement of Reasons, and the text of the regulations</w:t>
      </w:r>
      <w:r w:rsidR="00A6325F">
        <w:t xml:space="preserve"> and this 15-Day Notice</w:t>
      </w:r>
      <w:r w:rsidRPr="00110ADD">
        <w:t xml:space="preserve"> can be accessed through the Commission’s website</w:t>
      </w:r>
      <w:r w:rsidR="00CE3A5C">
        <w:t xml:space="preserve"> listed above</w:t>
      </w:r>
      <w:r w:rsidR="008F31BC">
        <w:t>.</w:t>
      </w:r>
    </w:p>
    <w:p w14:paraId="33740DE0" w14:textId="188420CF" w:rsidR="008F31BC" w:rsidRDefault="008F31BC" w:rsidP="007E1DEF">
      <w:pPr>
        <w:pStyle w:val="Heading2"/>
        <w:jc w:val="center"/>
      </w:pPr>
      <w:r>
        <w:lastRenderedPageBreak/>
        <w:t>PROPOSED TEXT</w:t>
      </w:r>
    </w:p>
    <w:p w14:paraId="6F1EC96E" w14:textId="77777777" w:rsidR="008F31BC" w:rsidRPr="008F31BC" w:rsidRDefault="008F31BC" w:rsidP="008F31BC"/>
    <w:p w14:paraId="68095E3F" w14:textId="061374CA" w:rsidR="008F31BC" w:rsidRPr="00A566C4" w:rsidRDefault="008F31BC" w:rsidP="008F31BC">
      <w:pPr>
        <w:pStyle w:val="Heading2"/>
        <w:jc w:val="center"/>
      </w:pPr>
      <w:r w:rsidRPr="00A566C4">
        <w:t>TITLE 5. EDUCATION</w:t>
      </w:r>
    </w:p>
    <w:p w14:paraId="4A718E19" w14:textId="77777777" w:rsidR="008F31BC" w:rsidRDefault="008F31BC" w:rsidP="008F31BC">
      <w:pPr>
        <w:pStyle w:val="Heading2"/>
        <w:jc w:val="center"/>
      </w:pPr>
      <w:r w:rsidRPr="00A566C4">
        <w:t>DIVISION 8. COMMISSION ON TEACHER CREDENTIALING</w:t>
      </w:r>
    </w:p>
    <w:p w14:paraId="01652E8D" w14:textId="77777777" w:rsidR="008F31BC" w:rsidRPr="00A566C4" w:rsidRDefault="008F31BC" w:rsidP="008F31BC">
      <w:pPr>
        <w:pStyle w:val="Heading3"/>
        <w:jc w:val="center"/>
      </w:pPr>
      <w:r>
        <w:t>CHAPTER 5. Approved Programs</w:t>
      </w:r>
    </w:p>
    <w:p w14:paraId="21B7860E" w14:textId="77777777" w:rsidR="008F31BC" w:rsidRPr="00CF220E" w:rsidRDefault="008F31BC" w:rsidP="008F31BC">
      <w:pPr>
        <w:pStyle w:val="Heading3"/>
        <w:jc w:val="center"/>
        <w:rPr>
          <w:color w:val="000000" w:themeColor="text1"/>
        </w:rPr>
      </w:pPr>
      <w:r w:rsidRPr="00CF220E">
        <w:rPr>
          <w:color w:val="000000" w:themeColor="text1"/>
        </w:rPr>
        <w:t>ARTICLE 2. Professional Preparation Programs</w:t>
      </w:r>
    </w:p>
    <w:p w14:paraId="189E8EB9" w14:textId="77777777" w:rsidR="008F31BC" w:rsidRPr="00CF220E" w:rsidRDefault="008F31BC" w:rsidP="008F31BC">
      <w:pPr>
        <w:shd w:val="clear" w:color="auto" w:fill="FFFFFF"/>
        <w:rPr>
          <w:rFonts w:cstheme="minorHAnsi"/>
          <w:strike/>
          <w:color w:val="000000" w:themeColor="text1"/>
        </w:rPr>
      </w:pPr>
    </w:p>
    <w:p w14:paraId="15D600B3" w14:textId="77777777" w:rsidR="008F31BC" w:rsidRPr="00CF220E" w:rsidRDefault="008F31BC" w:rsidP="008F31BC">
      <w:pPr>
        <w:pStyle w:val="Heading4"/>
        <w:rPr>
          <w:b/>
          <w:bCs/>
          <w:i w:val="0"/>
          <w:iCs/>
          <w:strike/>
          <w:color w:val="000000" w:themeColor="text1"/>
        </w:rPr>
      </w:pPr>
      <w:r w:rsidRPr="00CF220E">
        <w:rPr>
          <w:b/>
          <w:bCs/>
          <w:i w:val="0"/>
          <w:iCs/>
          <w:strike/>
          <w:color w:val="000000" w:themeColor="text1"/>
        </w:rPr>
        <w:t>§ 80632.5. Program for the Pupil Personnel Services Credential with the Advanced Specialization in School Child Welfare and Attendance Services.</w:t>
      </w:r>
    </w:p>
    <w:p w14:paraId="4DE598AC" w14:textId="77777777" w:rsidR="008F31BC" w:rsidRPr="00CF220E" w:rsidRDefault="008F31BC" w:rsidP="008F31BC">
      <w:pPr>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(a) In addition to the requirements contained in Section 80632.1 and one of the specializations contained in Section 80632.2, 80632.3, or 80632.4, the following specialized knowledge and skills shall be required for persons seeking the additional Specialization in School Child Welfare and Attendance.</w:t>
      </w:r>
    </w:p>
    <w:p w14:paraId="7C1EE52C" w14:textId="77777777" w:rsidR="008F31BC" w:rsidRPr="00CF220E" w:rsidRDefault="008F31BC" w:rsidP="008F31BC">
      <w:pPr>
        <w:ind w:firstLine="720"/>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(1) ATTENDANCE LAWS AND THE RIGHTS OF MINORS, to include:</w:t>
      </w:r>
    </w:p>
    <w:p w14:paraId="484AB3AF" w14:textId="77777777" w:rsidR="008F31BC" w:rsidRPr="00CF220E" w:rsidRDefault="008F31BC" w:rsidP="008F31BC">
      <w:pPr>
        <w:ind w:left="720" w:firstLine="720"/>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(A) Knowledge, including:</w:t>
      </w:r>
    </w:p>
    <w:p w14:paraId="74DC0D39" w14:textId="77777777" w:rsidR="008F31BC" w:rsidRPr="00CF220E" w:rsidRDefault="008F31BC" w:rsidP="008F31BC">
      <w:pPr>
        <w:ind w:left="1440" w:firstLine="720"/>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1. State Code requirements governing school attendance.</w:t>
      </w:r>
    </w:p>
    <w:p w14:paraId="38F43CF1" w14:textId="77777777" w:rsidR="008F31BC" w:rsidRPr="00CF220E" w:rsidRDefault="008F31BC" w:rsidP="008F31BC">
      <w:pPr>
        <w:ind w:left="1440" w:firstLine="720"/>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2. Child labor laws, both federal and state.</w:t>
      </w:r>
    </w:p>
    <w:p w14:paraId="0CD2BF7F" w14:textId="77777777" w:rsidR="008F31BC" w:rsidRPr="00CF220E" w:rsidRDefault="008F31BC" w:rsidP="008F31BC">
      <w:pPr>
        <w:ind w:left="1440" w:firstLine="720"/>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3. State Code provisions pertaining to juvenile delinquency.</w:t>
      </w:r>
    </w:p>
    <w:p w14:paraId="0C092BBA" w14:textId="77777777" w:rsidR="008F31BC" w:rsidRPr="00CF220E" w:rsidRDefault="008F31BC" w:rsidP="008F31BC">
      <w:pPr>
        <w:ind w:left="2160"/>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4. State Code provisions for tutoring and private school attendance in lieu of regular school attendance.</w:t>
      </w:r>
    </w:p>
    <w:p w14:paraId="56DF4813" w14:textId="77777777" w:rsidR="008F31BC" w:rsidRPr="00CF220E" w:rsidRDefault="008F31BC" w:rsidP="008F31BC">
      <w:pPr>
        <w:ind w:left="720" w:firstLine="720"/>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(B) skills, including:</w:t>
      </w:r>
    </w:p>
    <w:p w14:paraId="4EDCE202" w14:textId="77777777" w:rsidR="008F31BC" w:rsidRPr="00CF220E" w:rsidRDefault="008F31BC" w:rsidP="008F31BC">
      <w:pPr>
        <w:ind w:left="1440" w:firstLine="720"/>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1. Conducting assessment of student attendance.</w:t>
      </w:r>
    </w:p>
    <w:p w14:paraId="0AD75027" w14:textId="77777777" w:rsidR="008F31BC" w:rsidRPr="00CF220E" w:rsidRDefault="008F31BC" w:rsidP="008F31BC">
      <w:pPr>
        <w:ind w:left="1440" w:firstLine="720"/>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2. Interpreting attendance laws to students.</w:t>
      </w:r>
    </w:p>
    <w:p w14:paraId="012AB174" w14:textId="77777777" w:rsidR="008F31BC" w:rsidRPr="00CF220E" w:rsidRDefault="008F31BC" w:rsidP="008F31BC">
      <w:pPr>
        <w:ind w:left="2160"/>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3. Intervening at appropriate times for solving attendance problems of students.</w:t>
      </w:r>
    </w:p>
    <w:p w14:paraId="5DE654FA" w14:textId="77777777" w:rsidR="008F31BC" w:rsidRPr="00CF220E" w:rsidRDefault="008F31BC" w:rsidP="008F31BC">
      <w:pPr>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(b) Field practice shall be required of all candidates and shall be in addition to the field practice required in Sections 80632.2(b), 80632.3(b) or 80632.4(b)</w:t>
      </w:r>
    </w:p>
    <w:p w14:paraId="6856F09B" w14:textId="77777777" w:rsidR="008F31BC" w:rsidRPr="00CF220E" w:rsidRDefault="008F31BC" w:rsidP="008F31BC">
      <w:pPr>
        <w:ind w:left="720"/>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(1) Field practice shall be in the knowledges and skills provided in subdivision (a)(1) of this section.</w:t>
      </w:r>
    </w:p>
    <w:p w14:paraId="6A59644A" w14:textId="77777777" w:rsidR="008F31BC" w:rsidRPr="00CF220E" w:rsidRDefault="008F31BC" w:rsidP="008F31BC">
      <w:pPr>
        <w:ind w:left="720"/>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(2) Field practice shall be at least ninety (90) clock hours in duration, in a school setting, in direct contact with pupils assigned to the credential candidate by the college/university instructor and field supervisor.</w:t>
      </w:r>
    </w:p>
    <w:p w14:paraId="02696000" w14:textId="77777777" w:rsidR="008F31BC" w:rsidRPr="00CF220E" w:rsidRDefault="008F31BC" w:rsidP="008F31BC">
      <w:pPr>
        <w:ind w:left="720"/>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(3) Field practice by credential candidates shall be under the supervision of an experienced practitioner (who holds a Pupil Personnel Services credential) approved jointly by the college/university and the school district administration.</w:t>
      </w:r>
    </w:p>
    <w:p w14:paraId="1F948FCE" w14:textId="77777777" w:rsidR="008F31BC" w:rsidRPr="00CF220E" w:rsidRDefault="008F31BC" w:rsidP="008F31BC">
      <w:pPr>
        <w:rPr>
          <w:rFonts w:asciiTheme="minorHAnsi" w:hAnsiTheme="minorHAnsi" w:cstheme="minorHAnsi"/>
          <w:b/>
          <w:bCs/>
          <w:strike/>
          <w:color w:val="000000" w:themeColor="text1"/>
        </w:rPr>
      </w:pPr>
      <w:r w:rsidRPr="00CF220E">
        <w:rPr>
          <w:rFonts w:asciiTheme="minorHAnsi" w:hAnsiTheme="minorHAnsi" w:cstheme="minorHAnsi"/>
          <w:b/>
          <w:bCs/>
          <w:strike/>
          <w:color w:val="000000" w:themeColor="text1"/>
        </w:rPr>
        <w:t>(c) Credit may be granted by the college/university toward the required ninety (90) hours provided in subdivision (b) of this section for equivalent field practice completed previously by the candidate as part of an approved Pupil Personnel Services program at the same or another institution of higher education.</w:t>
      </w:r>
    </w:p>
    <w:p w14:paraId="215DA755" w14:textId="77777777" w:rsidR="008F31BC" w:rsidRPr="00CF220E" w:rsidRDefault="008F31BC" w:rsidP="008F31BC">
      <w:pPr>
        <w:rPr>
          <w:rFonts w:cstheme="minorHAnsi"/>
          <w:b/>
          <w:bCs/>
          <w:strike/>
          <w:color w:val="000000" w:themeColor="text1"/>
        </w:rPr>
      </w:pPr>
    </w:p>
    <w:p w14:paraId="01E4CD65" w14:textId="03E0BCB1" w:rsidR="00947087" w:rsidRPr="00CF220E" w:rsidRDefault="008F31BC" w:rsidP="005A0F7C">
      <w:pPr>
        <w:rPr>
          <w:rFonts w:cstheme="minorHAnsi"/>
          <w:b/>
          <w:bCs/>
          <w:strike/>
          <w:color w:val="000000" w:themeColor="text1"/>
        </w:rPr>
      </w:pPr>
      <w:r w:rsidRPr="00CF220E">
        <w:rPr>
          <w:rFonts w:asciiTheme="minorHAnsi" w:hAnsiTheme="minorHAnsi" w:cstheme="minorHAnsi"/>
          <w:b/>
          <w:bCs/>
          <w:strike/>
          <w:color w:val="000000" w:themeColor="text1"/>
        </w:rPr>
        <w:t>Note: Authority cited: Sections 44225(b)(4) and 44225(q), Education Code. Reference: Sections 44227 and 44266, Education Code.</w:t>
      </w:r>
    </w:p>
    <w:sectPr w:rsidR="00947087" w:rsidRPr="00CF220E" w:rsidSect="008F31BC">
      <w:pgSz w:w="12240" w:h="15840" w:code="1"/>
      <w:pgMar w:top="1440" w:right="1080" w:bottom="1440" w:left="108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5438D" w14:textId="77777777" w:rsidR="00C21C7A" w:rsidRDefault="00C21C7A" w:rsidP="005A0F7C">
      <w:r>
        <w:separator/>
      </w:r>
    </w:p>
  </w:endnote>
  <w:endnote w:type="continuationSeparator" w:id="0">
    <w:p w14:paraId="5497CBA1" w14:textId="77777777" w:rsidR="00C21C7A" w:rsidRDefault="00C21C7A" w:rsidP="005A0F7C">
      <w:r>
        <w:continuationSeparator/>
      </w:r>
    </w:p>
  </w:endnote>
  <w:endnote w:type="continuationNotice" w:id="1">
    <w:p w14:paraId="64BD482E" w14:textId="77777777" w:rsidR="00C21C7A" w:rsidRDefault="00C21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4931" w14:textId="77777777" w:rsidR="00C21C7A" w:rsidRDefault="00C21C7A" w:rsidP="005A0F7C">
      <w:r>
        <w:separator/>
      </w:r>
    </w:p>
  </w:footnote>
  <w:footnote w:type="continuationSeparator" w:id="0">
    <w:p w14:paraId="578922DC" w14:textId="77777777" w:rsidR="00C21C7A" w:rsidRDefault="00C21C7A" w:rsidP="005A0F7C">
      <w:r>
        <w:continuationSeparator/>
      </w:r>
    </w:p>
  </w:footnote>
  <w:footnote w:type="continuationNotice" w:id="1">
    <w:p w14:paraId="226EDD6A" w14:textId="77777777" w:rsidR="00C21C7A" w:rsidRDefault="00C21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A84F" w14:textId="2D8EF8F3" w:rsidR="008E5B10" w:rsidRDefault="004F11AD" w:rsidP="005A0F7C">
    <w:pPr>
      <w:rPr>
        <w:rStyle w:val="PageNumber"/>
        <w:sz w:val="20"/>
        <w:szCs w:val="20"/>
      </w:rPr>
    </w:pPr>
    <w:r>
      <w:t xml:space="preserve">15-Day Notice: </w:t>
    </w:r>
    <w:r w:rsidR="00805DC0" w:rsidRPr="00805DC0">
      <w:t>Modifications to Proposed Amendments to California Code of Regulations, Title 5, Pertaining to Pupil Personnel Services Credential</w:t>
    </w:r>
    <w:r w:rsidR="008671B8">
      <w:t>s</w:t>
    </w:r>
    <w:r w:rsidR="00802159">
      <w:t xml:space="preserve"> </w:t>
    </w:r>
  </w:p>
  <w:p w14:paraId="7540BD7B" w14:textId="77777777" w:rsidR="00F26CB2" w:rsidRPr="00F16530" w:rsidRDefault="00F16530" w:rsidP="005A0F7C">
    <w:pPr>
      <w:rPr>
        <w:rStyle w:val="PageNumber"/>
        <w:sz w:val="20"/>
        <w:szCs w:val="20"/>
      </w:rPr>
    </w:pPr>
    <w:r w:rsidRPr="00F16530">
      <w:t>P</w:t>
    </w:r>
    <w:r w:rsidR="00F26CB2" w:rsidRPr="00F16530">
      <w:t xml:space="preserve">age </w:t>
    </w:r>
    <w:r w:rsidR="00F26CB2" w:rsidRPr="00F16530">
      <w:rPr>
        <w:rStyle w:val="PageNumber"/>
        <w:sz w:val="20"/>
        <w:szCs w:val="20"/>
      </w:rPr>
      <w:fldChar w:fldCharType="begin"/>
    </w:r>
    <w:r w:rsidR="00F26CB2" w:rsidRPr="00F16530">
      <w:rPr>
        <w:rStyle w:val="PageNumber"/>
        <w:sz w:val="20"/>
        <w:szCs w:val="20"/>
      </w:rPr>
      <w:instrText xml:space="preserve"> PAGE </w:instrText>
    </w:r>
    <w:r w:rsidR="00F26CB2" w:rsidRPr="00F16530">
      <w:rPr>
        <w:rStyle w:val="PageNumber"/>
        <w:sz w:val="20"/>
        <w:szCs w:val="20"/>
      </w:rPr>
      <w:fldChar w:fldCharType="separate"/>
    </w:r>
    <w:r w:rsidR="00E07389">
      <w:rPr>
        <w:rStyle w:val="PageNumber"/>
        <w:noProof/>
        <w:sz w:val="20"/>
        <w:szCs w:val="20"/>
      </w:rPr>
      <w:t>2</w:t>
    </w:r>
    <w:r w:rsidR="00F26CB2" w:rsidRPr="00F16530">
      <w:rPr>
        <w:rStyle w:val="PageNumber"/>
        <w:sz w:val="20"/>
        <w:szCs w:val="20"/>
      </w:rPr>
      <w:fldChar w:fldCharType="end"/>
    </w:r>
  </w:p>
  <w:p w14:paraId="4FB20F45" w14:textId="77777777" w:rsidR="00AF5AD6" w:rsidRPr="00F55FEA" w:rsidRDefault="00AF5AD6" w:rsidP="005A0F7C">
    <w:pPr>
      <w:rPr>
        <w:rStyle w:val="PageNumbe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28A"/>
    <w:multiLevelType w:val="hybridMultilevel"/>
    <w:tmpl w:val="969691D4"/>
    <w:lvl w:ilvl="0" w:tplc="94A035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3B4202A"/>
    <w:multiLevelType w:val="hybridMultilevel"/>
    <w:tmpl w:val="F3828BA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5D63EE0"/>
    <w:multiLevelType w:val="hybridMultilevel"/>
    <w:tmpl w:val="C5A4A5F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C94DFF"/>
    <w:multiLevelType w:val="hybridMultilevel"/>
    <w:tmpl w:val="BCC4604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4EA3A8C"/>
    <w:multiLevelType w:val="hybridMultilevel"/>
    <w:tmpl w:val="921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161F1"/>
    <w:multiLevelType w:val="hybridMultilevel"/>
    <w:tmpl w:val="327C2FC8"/>
    <w:lvl w:ilvl="0" w:tplc="F79CD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396B92"/>
    <w:multiLevelType w:val="hybridMultilevel"/>
    <w:tmpl w:val="0656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F7294"/>
    <w:multiLevelType w:val="hybridMultilevel"/>
    <w:tmpl w:val="D10A20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B5A8C"/>
    <w:multiLevelType w:val="hybridMultilevel"/>
    <w:tmpl w:val="DFAC71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C77EA"/>
    <w:multiLevelType w:val="hybridMultilevel"/>
    <w:tmpl w:val="3E165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614FB"/>
    <w:multiLevelType w:val="hybridMultilevel"/>
    <w:tmpl w:val="0EF64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CB7040"/>
    <w:multiLevelType w:val="hybridMultilevel"/>
    <w:tmpl w:val="414C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9"/>
  </w:num>
  <w:num w:numId="6">
    <w:abstractNumId w:val="11"/>
  </w:num>
  <w:num w:numId="7">
    <w:abstractNumId w:val="0"/>
  </w:num>
  <w:num w:numId="8">
    <w:abstractNumId w:val="8"/>
  </w:num>
  <w:num w:numId="9">
    <w:abstractNumId w:val="6"/>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2NbY0NrEwMzI0N7dU0lEKTi0uzszPAykwMq4FAJtasr8tAAAA"/>
  </w:docVars>
  <w:rsids>
    <w:rsidRoot w:val="009A4CEB"/>
    <w:rsid w:val="00011290"/>
    <w:rsid w:val="00016B2C"/>
    <w:rsid w:val="0003007A"/>
    <w:rsid w:val="00034046"/>
    <w:rsid w:val="00034283"/>
    <w:rsid w:val="000601B5"/>
    <w:rsid w:val="000609DB"/>
    <w:rsid w:val="000611A5"/>
    <w:rsid w:val="00061C0B"/>
    <w:rsid w:val="000626EA"/>
    <w:rsid w:val="00065155"/>
    <w:rsid w:val="000745B2"/>
    <w:rsid w:val="000751F6"/>
    <w:rsid w:val="00081329"/>
    <w:rsid w:val="00090A0C"/>
    <w:rsid w:val="00092978"/>
    <w:rsid w:val="000A1EA3"/>
    <w:rsid w:val="000A35C2"/>
    <w:rsid w:val="000B1519"/>
    <w:rsid w:val="000B1C69"/>
    <w:rsid w:val="000B4276"/>
    <w:rsid w:val="000B45AE"/>
    <w:rsid w:val="000B592E"/>
    <w:rsid w:val="000C412A"/>
    <w:rsid w:val="000C59EF"/>
    <w:rsid w:val="000D121C"/>
    <w:rsid w:val="000D2E3F"/>
    <w:rsid w:val="000D4302"/>
    <w:rsid w:val="000D7984"/>
    <w:rsid w:val="000E7848"/>
    <w:rsid w:val="000F1C45"/>
    <w:rsid w:val="000F3B9B"/>
    <w:rsid w:val="001025E5"/>
    <w:rsid w:val="00107FB7"/>
    <w:rsid w:val="00110FF3"/>
    <w:rsid w:val="00116E0D"/>
    <w:rsid w:val="001218DD"/>
    <w:rsid w:val="00124A4D"/>
    <w:rsid w:val="00126B29"/>
    <w:rsid w:val="00127E6E"/>
    <w:rsid w:val="00136230"/>
    <w:rsid w:val="00136D98"/>
    <w:rsid w:val="001438C1"/>
    <w:rsid w:val="0014588B"/>
    <w:rsid w:val="001572AD"/>
    <w:rsid w:val="00160BD6"/>
    <w:rsid w:val="00162FF0"/>
    <w:rsid w:val="00164D90"/>
    <w:rsid w:val="0017061C"/>
    <w:rsid w:val="00172B35"/>
    <w:rsid w:val="00182C9A"/>
    <w:rsid w:val="001A20A4"/>
    <w:rsid w:val="001A2381"/>
    <w:rsid w:val="001A4555"/>
    <w:rsid w:val="001B6E25"/>
    <w:rsid w:val="001C2E4C"/>
    <w:rsid w:val="001D1F21"/>
    <w:rsid w:val="001D200F"/>
    <w:rsid w:val="001D692C"/>
    <w:rsid w:val="001E0630"/>
    <w:rsid w:val="001E2E60"/>
    <w:rsid w:val="001F5A31"/>
    <w:rsid w:val="001F7FE3"/>
    <w:rsid w:val="002206CE"/>
    <w:rsid w:val="00220CE2"/>
    <w:rsid w:val="00231940"/>
    <w:rsid w:val="00232E02"/>
    <w:rsid w:val="00234682"/>
    <w:rsid w:val="00237C13"/>
    <w:rsid w:val="00237F96"/>
    <w:rsid w:val="00251AB5"/>
    <w:rsid w:val="0025531C"/>
    <w:rsid w:val="0026593F"/>
    <w:rsid w:val="00266D14"/>
    <w:rsid w:val="00270854"/>
    <w:rsid w:val="002778BF"/>
    <w:rsid w:val="002811EE"/>
    <w:rsid w:val="0028159E"/>
    <w:rsid w:val="00283294"/>
    <w:rsid w:val="0028363C"/>
    <w:rsid w:val="002837B4"/>
    <w:rsid w:val="0028722B"/>
    <w:rsid w:val="002934F3"/>
    <w:rsid w:val="0029362D"/>
    <w:rsid w:val="00294A57"/>
    <w:rsid w:val="002C1919"/>
    <w:rsid w:val="002C76DE"/>
    <w:rsid w:val="002D2E5F"/>
    <w:rsid w:val="002D3A01"/>
    <w:rsid w:val="002E11ED"/>
    <w:rsid w:val="002F074C"/>
    <w:rsid w:val="002F4504"/>
    <w:rsid w:val="003003E1"/>
    <w:rsid w:val="003014AD"/>
    <w:rsid w:val="003022F3"/>
    <w:rsid w:val="0030783F"/>
    <w:rsid w:val="00316D02"/>
    <w:rsid w:val="00330FC8"/>
    <w:rsid w:val="00336EA9"/>
    <w:rsid w:val="00340363"/>
    <w:rsid w:val="00346C7A"/>
    <w:rsid w:val="00347FDC"/>
    <w:rsid w:val="003508C8"/>
    <w:rsid w:val="00353E0D"/>
    <w:rsid w:val="00353EE1"/>
    <w:rsid w:val="00367061"/>
    <w:rsid w:val="003672B2"/>
    <w:rsid w:val="00375F2C"/>
    <w:rsid w:val="00376965"/>
    <w:rsid w:val="00377C38"/>
    <w:rsid w:val="0038479E"/>
    <w:rsid w:val="00390A0B"/>
    <w:rsid w:val="00391301"/>
    <w:rsid w:val="00394244"/>
    <w:rsid w:val="00397995"/>
    <w:rsid w:val="003A1B0D"/>
    <w:rsid w:val="003C50F2"/>
    <w:rsid w:val="003C5C04"/>
    <w:rsid w:val="003D2801"/>
    <w:rsid w:val="003E16C8"/>
    <w:rsid w:val="003E7B23"/>
    <w:rsid w:val="003F1747"/>
    <w:rsid w:val="003F3F70"/>
    <w:rsid w:val="003F664E"/>
    <w:rsid w:val="004030E4"/>
    <w:rsid w:val="00405730"/>
    <w:rsid w:val="004162D9"/>
    <w:rsid w:val="00421935"/>
    <w:rsid w:val="004278DD"/>
    <w:rsid w:val="00433563"/>
    <w:rsid w:val="00441FCC"/>
    <w:rsid w:val="00446110"/>
    <w:rsid w:val="00446DB4"/>
    <w:rsid w:val="004518AB"/>
    <w:rsid w:val="00454D76"/>
    <w:rsid w:val="004673C4"/>
    <w:rsid w:val="00474D63"/>
    <w:rsid w:val="00485E4A"/>
    <w:rsid w:val="00493FEF"/>
    <w:rsid w:val="004941F6"/>
    <w:rsid w:val="00494F14"/>
    <w:rsid w:val="00496297"/>
    <w:rsid w:val="004A6566"/>
    <w:rsid w:val="004A6D80"/>
    <w:rsid w:val="004A70EA"/>
    <w:rsid w:val="004B0B6B"/>
    <w:rsid w:val="004B1CC0"/>
    <w:rsid w:val="004B6535"/>
    <w:rsid w:val="004C2307"/>
    <w:rsid w:val="004C5458"/>
    <w:rsid w:val="004C630D"/>
    <w:rsid w:val="004E158F"/>
    <w:rsid w:val="004F11AD"/>
    <w:rsid w:val="0050034F"/>
    <w:rsid w:val="00500E0D"/>
    <w:rsid w:val="005066A5"/>
    <w:rsid w:val="00520AC0"/>
    <w:rsid w:val="0052179D"/>
    <w:rsid w:val="00523371"/>
    <w:rsid w:val="00525308"/>
    <w:rsid w:val="00525EDE"/>
    <w:rsid w:val="00531BD9"/>
    <w:rsid w:val="00532F3E"/>
    <w:rsid w:val="0053372F"/>
    <w:rsid w:val="0053466F"/>
    <w:rsid w:val="005346E9"/>
    <w:rsid w:val="00540CA9"/>
    <w:rsid w:val="00542672"/>
    <w:rsid w:val="0054690A"/>
    <w:rsid w:val="005574BD"/>
    <w:rsid w:val="005620F7"/>
    <w:rsid w:val="00566872"/>
    <w:rsid w:val="00566AAB"/>
    <w:rsid w:val="0057065B"/>
    <w:rsid w:val="00571E8E"/>
    <w:rsid w:val="005923CE"/>
    <w:rsid w:val="005A0F7C"/>
    <w:rsid w:val="005B3A96"/>
    <w:rsid w:val="005B626A"/>
    <w:rsid w:val="005D1477"/>
    <w:rsid w:val="005D4599"/>
    <w:rsid w:val="005E0A13"/>
    <w:rsid w:val="005E2381"/>
    <w:rsid w:val="005E2817"/>
    <w:rsid w:val="005E4818"/>
    <w:rsid w:val="005E7053"/>
    <w:rsid w:val="005E7C98"/>
    <w:rsid w:val="005F2058"/>
    <w:rsid w:val="005F5BAD"/>
    <w:rsid w:val="00607D18"/>
    <w:rsid w:val="00607FA5"/>
    <w:rsid w:val="00614717"/>
    <w:rsid w:val="00622A5E"/>
    <w:rsid w:val="00623BC1"/>
    <w:rsid w:val="006243C5"/>
    <w:rsid w:val="00632314"/>
    <w:rsid w:val="006357F1"/>
    <w:rsid w:val="006434A1"/>
    <w:rsid w:val="00644AAB"/>
    <w:rsid w:val="00662AD0"/>
    <w:rsid w:val="006646A4"/>
    <w:rsid w:val="00674127"/>
    <w:rsid w:val="00675D83"/>
    <w:rsid w:val="006760F6"/>
    <w:rsid w:val="00684C3F"/>
    <w:rsid w:val="00694035"/>
    <w:rsid w:val="006952B6"/>
    <w:rsid w:val="00695B6F"/>
    <w:rsid w:val="006B06E6"/>
    <w:rsid w:val="006C1030"/>
    <w:rsid w:val="006C4DBA"/>
    <w:rsid w:val="006C5160"/>
    <w:rsid w:val="006C5F92"/>
    <w:rsid w:val="006D07CD"/>
    <w:rsid w:val="006E1EA6"/>
    <w:rsid w:val="006E3C2F"/>
    <w:rsid w:val="00701277"/>
    <w:rsid w:val="00702AED"/>
    <w:rsid w:val="00702F99"/>
    <w:rsid w:val="00706A20"/>
    <w:rsid w:val="007173F3"/>
    <w:rsid w:val="007278AF"/>
    <w:rsid w:val="00731158"/>
    <w:rsid w:val="007333AC"/>
    <w:rsid w:val="0074548B"/>
    <w:rsid w:val="00750769"/>
    <w:rsid w:val="0075188D"/>
    <w:rsid w:val="00756E2A"/>
    <w:rsid w:val="00757133"/>
    <w:rsid w:val="007612A7"/>
    <w:rsid w:val="00765391"/>
    <w:rsid w:val="00766E74"/>
    <w:rsid w:val="00775D29"/>
    <w:rsid w:val="00776C24"/>
    <w:rsid w:val="007776EB"/>
    <w:rsid w:val="00793414"/>
    <w:rsid w:val="007B613A"/>
    <w:rsid w:val="007C527B"/>
    <w:rsid w:val="007C60BC"/>
    <w:rsid w:val="007C7B3F"/>
    <w:rsid w:val="007D137B"/>
    <w:rsid w:val="007E1DEF"/>
    <w:rsid w:val="007E3E5F"/>
    <w:rsid w:val="007F2AC0"/>
    <w:rsid w:val="007F6A36"/>
    <w:rsid w:val="00801C9F"/>
    <w:rsid w:val="00802159"/>
    <w:rsid w:val="00804A6A"/>
    <w:rsid w:val="00805DC0"/>
    <w:rsid w:val="0081487C"/>
    <w:rsid w:val="008163E3"/>
    <w:rsid w:val="00817D0A"/>
    <w:rsid w:val="0082378C"/>
    <w:rsid w:val="00823CF2"/>
    <w:rsid w:val="00827B1F"/>
    <w:rsid w:val="00834B88"/>
    <w:rsid w:val="00845DD2"/>
    <w:rsid w:val="00846987"/>
    <w:rsid w:val="0085493B"/>
    <w:rsid w:val="0085632C"/>
    <w:rsid w:val="0085661F"/>
    <w:rsid w:val="0085787A"/>
    <w:rsid w:val="008671B8"/>
    <w:rsid w:val="00880029"/>
    <w:rsid w:val="00881122"/>
    <w:rsid w:val="00883EB1"/>
    <w:rsid w:val="00886C60"/>
    <w:rsid w:val="008A133A"/>
    <w:rsid w:val="008B21C1"/>
    <w:rsid w:val="008B4A44"/>
    <w:rsid w:val="008B4EB2"/>
    <w:rsid w:val="008B57E4"/>
    <w:rsid w:val="008C2DF4"/>
    <w:rsid w:val="008C2FE4"/>
    <w:rsid w:val="008C3C6D"/>
    <w:rsid w:val="008C44C0"/>
    <w:rsid w:val="008C545E"/>
    <w:rsid w:val="008C5B85"/>
    <w:rsid w:val="008C75B0"/>
    <w:rsid w:val="008D1CBC"/>
    <w:rsid w:val="008D393A"/>
    <w:rsid w:val="008D48E6"/>
    <w:rsid w:val="008E0D69"/>
    <w:rsid w:val="008E5B10"/>
    <w:rsid w:val="008F31BC"/>
    <w:rsid w:val="00912136"/>
    <w:rsid w:val="0092202E"/>
    <w:rsid w:val="00926EB0"/>
    <w:rsid w:val="009300A3"/>
    <w:rsid w:val="00937BD3"/>
    <w:rsid w:val="00940017"/>
    <w:rsid w:val="00947087"/>
    <w:rsid w:val="0095244F"/>
    <w:rsid w:val="00957C5E"/>
    <w:rsid w:val="00961EA8"/>
    <w:rsid w:val="00967E8F"/>
    <w:rsid w:val="00973B84"/>
    <w:rsid w:val="00974247"/>
    <w:rsid w:val="009774E6"/>
    <w:rsid w:val="00982A16"/>
    <w:rsid w:val="0098517E"/>
    <w:rsid w:val="0098533D"/>
    <w:rsid w:val="00986825"/>
    <w:rsid w:val="00991D54"/>
    <w:rsid w:val="009A4CEB"/>
    <w:rsid w:val="009A6D7D"/>
    <w:rsid w:val="009C17D1"/>
    <w:rsid w:val="009C2554"/>
    <w:rsid w:val="009C2860"/>
    <w:rsid w:val="009C6253"/>
    <w:rsid w:val="009D125C"/>
    <w:rsid w:val="009D33EF"/>
    <w:rsid w:val="009D3600"/>
    <w:rsid w:val="009E2242"/>
    <w:rsid w:val="009F0752"/>
    <w:rsid w:val="009F1ED4"/>
    <w:rsid w:val="009F3228"/>
    <w:rsid w:val="009F3D64"/>
    <w:rsid w:val="009F65BA"/>
    <w:rsid w:val="00A01BF0"/>
    <w:rsid w:val="00A02A1C"/>
    <w:rsid w:val="00A168E2"/>
    <w:rsid w:val="00A1733C"/>
    <w:rsid w:val="00A20836"/>
    <w:rsid w:val="00A32480"/>
    <w:rsid w:val="00A36F11"/>
    <w:rsid w:val="00A4082A"/>
    <w:rsid w:val="00A43F9A"/>
    <w:rsid w:val="00A47EFB"/>
    <w:rsid w:val="00A51E91"/>
    <w:rsid w:val="00A56178"/>
    <w:rsid w:val="00A6325F"/>
    <w:rsid w:val="00A65470"/>
    <w:rsid w:val="00A76DC0"/>
    <w:rsid w:val="00A800A9"/>
    <w:rsid w:val="00A92CC5"/>
    <w:rsid w:val="00A94946"/>
    <w:rsid w:val="00A9521E"/>
    <w:rsid w:val="00A95B4E"/>
    <w:rsid w:val="00AA5781"/>
    <w:rsid w:val="00AB4BC6"/>
    <w:rsid w:val="00AB5DEA"/>
    <w:rsid w:val="00AB7137"/>
    <w:rsid w:val="00AC1EEB"/>
    <w:rsid w:val="00AC3547"/>
    <w:rsid w:val="00AC6531"/>
    <w:rsid w:val="00AC7A3B"/>
    <w:rsid w:val="00AE4B84"/>
    <w:rsid w:val="00AE6B10"/>
    <w:rsid w:val="00AE6CE8"/>
    <w:rsid w:val="00AF5AD6"/>
    <w:rsid w:val="00AF7632"/>
    <w:rsid w:val="00B13CE5"/>
    <w:rsid w:val="00B2006A"/>
    <w:rsid w:val="00B2039A"/>
    <w:rsid w:val="00B208F0"/>
    <w:rsid w:val="00B228EF"/>
    <w:rsid w:val="00B43DF6"/>
    <w:rsid w:val="00B660A3"/>
    <w:rsid w:val="00B663EC"/>
    <w:rsid w:val="00B90E9D"/>
    <w:rsid w:val="00B924D7"/>
    <w:rsid w:val="00BA0C50"/>
    <w:rsid w:val="00BA5892"/>
    <w:rsid w:val="00BB59DD"/>
    <w:rsid w:val="00BB7476"/>
    <w:rsid w:val="00BC1229"/>
    <w:rsid w:val="00BC277C"/>
    <w:rsid w:val="00BC7B54"/>
    <w:rsid w:val="00BD6B04"/>
    <w:rsid w:val="00BE1559"/>
    <w:rsid w:val="00BE33A1"/>
    <w:rsid w:val="00BE42FE"/>
    <w:rsid w:val="00BF4D4D"/>
    <w:rsid w:val="00BF6819"/>
    <w:rsid w:val="00C068DA"/>
    <w:rsid w:val="00C0707A"/>
    <w:rsid w:val="00C105EA"/>
    <w:rsid w:val="00C10CCB"/>
    <w:rsid w:val="00C111F3"/>
    <w:rsid w:val="00C1252F"/>
    <w:rsid w:val="00C21C7A"/>
    <w:rsid w:val="00C24AB4"/>
    <w:rsid w:val="00C3222D"/>
    <w:rsid w:val="00C4342E"/>
    <w:rsid w:val="00C45723"/>
    <w:rsid w:val="00C511FD"/>
    <w:rsid w:val="00C60A8C"/>
    <w:rsid w:val="00C62718"/>
    <w:rsid w:val="00C6447C"/>
    <w:rsid w:val="00C75878"/>
    <w:rsid w:val="00C85C58"/>
    <w:rsid w:val="00C941A1"/>
    <w:rsid w:val="00C94245"/>
    <w:rsid w:val="00CA00C8"/>
    <w:rsid w:val="00CA0172"/>
    <w:rsid w:val="00CC03E3"/>
    <w:rsid w:val="00CD6D7C"/>
    <w:rsid w:val="00CD7E03"/>
    <w:rsid w:val="00CE3A5C"/>
    <w:rsid w:val="00CF01E5"/>
    <w:rsid w:val="00CF220E"/>
    <w:rsid w:val="00CF7AB7"/>
    <w:rsid w:val="00D04BF2"/>
    <w:rsid w:val="00D14649"/>
    <w:rsid w:val="00D21E3D"/>
    <w:rsid w:val="00D310E3"/>
    <w:rsid w:val="00D32276"/>
    <w:rsid w:val="00D332A1"/>
    <w:rsid w:val="00D33AD5"/>
    <w:rsid w:val="00D4394E"/>
    <w:rsid w:val="00D47719"/>
    <w:rsid w:val="00D547C4"/>
    <w:rsid w:val="00D5727B"/>
    <w:rsid w:val="00D6155C"/>
    <w:rsid w:val="00D627D4"/>
    <w:rsid w:val="00D63417"/>
    <w:rsid w:val="00D70F30"/>
    <w:rsid w:val="00D82271"/>
    <w:rsid w:val="00DA5715"/>
    <w:rsid w:val="00DA6D46"/>
    <w:rsid w:val="00DA7DE3"/>
    <w:rsid w:val="00DB2E44"/>
    <w:rsid w:val="00DB483E"/>
    <w:rsid w:val="00DC051D"/>
    <w:rsid w:val="00DC1800"/>
    <w:rsid w:val="00DC39AB"/>
    <w:rsid w:val="00DC5857"/>
    <w:rsid w:val="00DC7A96"/>
    <w:rsid w:val="00E02729"/>
    <w:rsid w:val="00E07389"/>
    <w:rsid w:val="00E21FBC"/>
    <w:rsid w:val="00E25647"/>
    <w:rsid w:val="00E41564"/>
    <w:rsid w:val="00E51A65"/>
    <w:rsid w:val="00E74B59"/>
    <w:rsid w:val="00E9541D"/>
    <w:rsid w:val="00E97862"/>
    <w:rsid w:val="00EA41CF"/>
    <w:rsid w:val="00EB31DD"/>
    <w:rsid w:val="00EB646A"/>
    <w:rsid w:val="00EC11C7"/>
    <w:rsid w:val="00EC6B70"/>
    <w:rsid w:val="00ED37EB"/>
    <w:rsid w:val="00ED7E54"/>
    <w:rsid w:val="00EE2A03"/>
    <w:rsid w:val="00EE6FF9"/>
    <w:rsid w:val="00EF18E4"/>
    <w:rsid w:val="00EF6A47"/>
    <w:rsid w:val="00EF75C9"/>
    <w:rsid w:val="00EF7F9D"/>
    <w:rsid w:val="00F0452D"/>
    <w:rsid w:val="00F16530"/>
    <w:rsid w:val="00F23FC5"/>
    <w:rsid w:val="00F26CB2"/>
    <w:rsid w:val="00F33314"/>
    <w:rsid w:val="00F33461"/>
    <w:rsid w:val="00F35231"/>
    <w:rsid w:val="00F3567B"/>
    <w:rsid w:val="00F36ADA"/>
    <w:rsid w:val="00F43731"/>
    <w:rsid w:val="00F478FA"/>
    <w:rsid w:val="00F5293F"/>
    <w:rsid w:val="00F55FEA"/>
    <w:rsid w:val="00F64A45"/>
    <w:rsid w:val="00F72177"/>
    <w:rsid w:val="00F74049"/>
    <w:rsid w:val="00F75DDB"/>
    <w:rsid w:val="00F80D7C"/>
    <w:rsid w:val="00F811AA"/>
    <w:rsid w:val="00F9644C"/>
    <w:rsid w:val="00FA0275"/>
    <w:rsid w:val="00FA6E51"/>
    <w:rsid w:val="00FB401D"/>
    <w:rsid w:val="00FB58EE"/>
    <w:rsid w:val="00FB5FA3"/>
    <w:rsid w:val="00FC0C65"/>
    <w:rsid w:val="00FD15BF"/>
    <w:rsid w:val="00FD5E76"/>
    <w:rsid w:val="00FF32D2"/>
    <w:rsid w:val="016F1704"/>
    <w:rsid w:val="0A36FC83"/>
    <w:rsid w:val="0A9C6543"/>
    <w:rsid w:val="0C6B8F68"/>
    <w:rsid w:val="107C563E"/>
    <w:rsid w:val="12E5152D"/>
    <w:rsid w:val="181F1BF4"/>
    <w:rsid w:val="18A89ABA"/>
    <w:rsid w:val="1A51BEEC"/>
    <w:rsid w:val="1D6AF7EC"/>
    <w:rsid w:val="1E8F3E16"/>
    <w:rsid w:val="1F25300F"/>
    <w:rsid w:val="1F68F80E"/>
    <w:rsid w:val="220B5CAF"/>
    <w:rsid w:val="223B5FC3"/>
    <w:rsid w:val="22AF0010"/>
    <w:rsid w:val="2C1169B6"/>
    <w:rsid w:val="321D9956"/>
    <w:rsid w:val="36AE2B9E"/>
    <w:rsid w:val="3C658C66"/>
    <w:rsid w:val="4224D2F6"/>
    <w:rsid w:val="42D75768"/>
    <w:rsid w:val="47DF86FE"/>
    <w:rsid w:val="485C88C2"/>
    <w:rsid w:val="49DDD02A"/>
    <w:rsid w:val="5595CCB2"/>
    <w:rsid w:val="575BB905"/>
    <w:rsid w:val="5BD09E2F"/>
    <w:rsid w:val="5F3158A7"/>
    <w:rsid w:val="685230DB"/>
    <w:rsid w:val="6945F3CE"/>
    <w:rsid w:val="69745311"/>
    <w:rsid w:val="6C2C0CD7"/>
    <w:rsid w:val="6DC73AF7"/>
    <w:rsid w:val="6E76554D"/>
    <w:rsid w:val="6F697C2F"/>
    <w:rsid w:val="720E7119"/>
    <w:rsid w:val="76BDBDA2"/>
    <w:rsid w:val="76D471CA"/>
    <w:rsid w:val="78B40A2A"/>
    <w:rsid w:val="7BAB6E19"/>
    <w:rsid w:val="7BD2828F"/>
    <w:rsid w:val="7D6E52F0"/>
    <w:rsid w:val="7D8A04CB"/>
    <w:rsid w:val="7EA1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4D67F1"/>
  <w15:chartTrackingRefBased/>
  <w15:docId w15:val="{8A7D767A-C95D-4B36-9A30-5B73E77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F7C"/>
    <w:rPr>
      <w:rFonts w:ascii="Calibri" w:hAnsi="Calibri"/>
      <w:sz w:val="24"/>
      <w:szCs w:val="24"/>
    </w:rPr>
  </w:style>
  <w:style w:type="paragraph" w:styleId="Heading1">
    <w:name w:val="heading 1"/>
    <w:basedOn w:val="Normal"/>
    <w:next w:val="Normal"/>
    <w:link w:val="Heading1Char"/>
    <w:qFormat/>
    <w:rsid w:val="009C2860"/>
    <w:pPr>
      <w:keepNext/>
      <w:spacing w:before="240" w:after="60"/>
      <w:outlineLvl w:val="0"/>
    </w:pPr>
    <w:rPr>
      <w:rFonts w:asciiTheme="minorHAnsi" w:eastAsiaTheme="majorEastAsia" w:hAnsiTheme="minorHAnsi" w:cstheme="minorHAnsi"/>
      <w:b/>
      <w:bCs/>
      <w:kern w:val="32"/>
      <w:sz w:val="32"/>
      <w:szCs w:val="32"/>
    </w:rPr>
  </w:style>
  <w:style w:type="paragraph" w:styleId="Heading2">
    <w:name w:val="heading 2"/>
    <w:basedOn w:val="Normal"/>
    <w:next w:val="Normal"/>
    <w:link w:val="Heading2Char"/>
    <w:unhideWhenUsed/>
    <w:qFormat/>
    <w:rsid w:val="009C2860"/>
    <w:pPr>
      <w:keepNext/>
      <w:keepLines/>
      <w:spacing w:before="40"/>
      <w:outlineLvl w:val="1"/>
    </w:pPr>
    <w:rPr>
      <w:rFonts w:eastAsiaTheme="majorEastAsia" w:cstheme="majorBidi"/>
      <w:b/>
      <w:sz w:val="28"/>
      <w:szCs w:val="26"/>
    </w:rPr>
  </w:style>
  <w:style w:type="paragraph" w:styleId="Heading3">
    <w:name w:val="heading 3"/>
    <w:basedOn w:val="Heading2"/>
    <w:next w:val="Normal"/>
    <w:link w:val="Heading3Char"/>
    <w:unhideWhenUsed/>
    <w:qFormat/>
    <w:rsid w:val="009C2860"/>
    <w:pPr>
      <w:outlineLvl w:val="2"/>
    </w:pPr>
    <w:rPr>
      <w:rFonts w:asciiTheme="minorHAnsi" w:hAnsiTheme="minorHAnsi" w:cstheme="minorHAnsi"/>
      <w:sz w:val="24"/>
      <w:szCs w:val="24"/>
    </w:rPr>
  </w:style>
  <w:style w:type="paragraph" w:styleId="Heading4">
    <w:name w:val="heading 4"/>
    <w:basedOn w:val="Normal"/>
    <w:next w:val="Normal"/>
    <w:link w:val="Heading4Char"/>
    <w:unhideWhenUsed/>
    <w:qFormat/>
    <w:rsid w:val="000B1519"/>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4CEB"/>
    <w:rPr>
      <w:rFonts w:cs="Times New Roman"/>
      <w:color w:val="0000FF"/>
      <w:u w:val="single"/>
    </w:rPr>
  </w:style>
  <w:style w:type="paragraph" w:styleId="Header">
    <w:name w:val="header"/>
    <w:basedOn w:val="Normal"/>
    <w:link w:val="HeaderChar"/>
    <w:uiPriority w:val="99"/>
    <w:rsid w:val="000601B5"/>
    <w:pPr>
      <w:tabs>
        <w:tab w:val="center" w:pos="4320"/>
        <w:tab w:val="right" w:pos="8640"/>
      </w:tabs>
    </w:pPr>
  </w:style>
  <w:style w:type="character" w:customStyle="1" w:styleId="HeaderChar">
    <w:name w:val="Header Char"/>
    <w:link w:val="Header"/>
    <w:uiPriority w:val="99"/>
    <w:semiHidden/>
    <w:rsid w:val="00F60FD8"/>
    <w:rPr>
      <w:sz w:val="24"/>
      <w:szCs w:val="24"/>
    </w:rPr>
  </w:style>
  <w:style w:type="paragraph" w:styleId="Footer">
    <w:name w:val="footer"/>
    <w:basedOn w:val="Normal"/>
    <w:link w:val="FooterChar"/>
    <w:uiPriority w:val="99"/>
    <w:rsid w:val="000601B5"/>
    <w:pPr>
      <w:tabs>
        <w:tab w:val="center" w:pos="4320"/>
        <w:tab w:val="right" w:pos="8640"/>
      </w:tabs>
    </w:pPr>
  </w:style>
  <w:style w:type="character" w:customStyle="1" w:styleId="FooterChar">
    <w:name w:val="Footer Char"/>
    <w:link w:val="Footer"/>
    <w:uiPriority w:val="99"/>
    <w:semiHidden/>
    <w:rsid w:val="00F60FD8"/>
    <w:rPr>
      <w:sz w:val="24"/>
      <w:szCs w:val="24"/>
    </w:rPr>
  </w:style>
  <w:style w:type="character" w:styleId="PageNumber">
    <w:name w:val="page number"/>
    <w:uiPriority w:val="99"/>
    <w:rsid w:val="00016B2C"/>
    <w:rPr>
      <w:rFonts w:cs="Times New Roman"/>
    </w:rPr>
  </w:style>
  <w:style w:type="table" w:styleId="TableGrid">
    <w:name w:val="Table Grid"/>
    <w:basedOn w:val="TableNormal"/>
    <w:uiPriority w:val="59"/>
    <w:rsid w:val="00AE4B84"/>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646A4"/>
    <w:rPr>
      <w:color w:val="800080"/>
      <w:u w:val="single"/>
    </w:rPr>
  </w:style>
  <w:style w:type="paragraph" w:customStyle="1" w:styleId="Default">
    <w:name w:val="Default"/>
    <w:rsid w:val="002D3A01"/>
    <w:pPr>
      <w:autoSpaceDE w:val="0"/>
      <w:autoSpaceDN w:val="0"/>
      <w:adjustRightInd w:val="0"/>
    </w:pPr>
    <w:rPr>
      <w:color w:val="000000"/>
      <w:sz w:val="24"/>
      <w:szCs w:val="24"/>
    </w:rPr>
  </w:style>
  <w:style w:type="paragraph" w:styleId="ListParagraph">
    <w:name w:val="List Paragraph"/>
    <w:basedOn w:val="Normal"/>
    <w:uiPriority w:val="34"/>
    <w:qFormat/>
    <w:rsid w:val="002D3A01"/>
    <w:pPr>
      <w:ind w:left="720"/>
      <w:contextualSpacing/>
    </w:pPr>
    <w:rPr>
      <w:rFonts w:eastAsia="Calibri"/>
      <w:sz w:val="22"/>
      <w:szCs w:val="22"/>
    </w:rPr>
  </w:style>
  <w:style w:type="paragraph" w:styleId="BalloonText">
    <w:name w:val="Balloon Text"/>
    <w:basedOn w:val="Normal"/>
    <w:link w:val="BalloonTextChar"/>
    <w:rsid w:val="004E158F"/>
    <w:rPr>
      <w:rFonts w:ascii="Tahoma" w:hAnsi="Tahoma" w:cs="Tahoma"/>
      <w:sz w:val="16"/>
      <w:szCs w:val="16"/>
    </w:rPr>
  </w:style>
  <w:style w:type="character" w:customStyle="1" w:styleId="BalloonTextChar">
    <w:name w:val="Balloon Text Char"/>
    <w:link w:val="BalloonText"/>
    <w:rsid w:val="004E158F"/>
    <w:rPr>
      <w:rFonts w:ascii="Tahoma" w:hAnsi="Tahoma" w:cs="Tahoma"/>
      <w:sz w:val="16"/>
      <w:szCs w:val="16"/>
    </w:rPr>
  </w:style>
  <w:style w:type="character" w:customStyle="1" w:styleId="content1">
    <w:name w:val="content1"/>
    <w:rsid w:val="00251AB5"/>
    <w:rPr>
      <w:rFonts w:ascii="Arial" w:hAnsi="Arial" w:cs="Arial" w:hint="default"/>
      <w:color w:val="000000"/>
      <w:sz w:val="17"/>
      <w:szCs w:val="17"/>
    </w:rPr>
  </w:style>
  <w:style w:type="paragraph" w:customStyle="1" w:styleId="BodyText1">
    <w:name w:val="Body Text1"/>
    <w:basedOn w:val="Normal"/>
    <w:rsid w:val="00251AB5"/>
    <w:pPr>
      <w:tabs>
        <w:tab w:val="left" w:pos="3960"/>
      </w:tabs>
      <w:jc w:val="both"/>
    </w:pPr>
    <w:rPr>
      <w:rFonts w:ascii="Palatino" w:hAnsi="Palatino"/>
      <w:szCs w:val="20"/>
    </w:rPr>
  </w:style>
  <w:style w:type="character" w:styleId="CommentReference">
    <w:name w:val="annotation reference"/>
    <w:rsid w:val="00353E0D"/>
    <w:rPr>
      <w:sz w:val="16"/>
      <w:szCs w:val="16"/>
    </w:rPr>
  </w:style>
  <w:style w:type="paragraph" w:styleId="CommentText">
    <w:name w:val="annotation text"/>
    <w:basedOn w:val="Normal"/>
    <w:link w:val="CommentTextChar"/>
    <w:rsid w:val="00353E0D"/>
    <w:rPr>
      <w:sz w:val="20"/>
      <w:szCs w:val="20"/>
    </w:rPr>
  </w:style>
  <w:style w:type="character" w:customStyle="1" w:styleId="CommentTextChar">
    <w:name w:val="Comment Text Char"/>
    <w:basedOn w:val="DefaultParagraphFont"/>
    <w:link w:val="CommentText"/>
    <w:rsid w:val="00353E0D"/>
  </w:style>
  <w:style w:type="paragraph" w:styleId="CommentSubject">
    <w:name w:val="annotation subject"/>
    <w:basedOn w:val="CommentText"/>
    <w:next w:val="CommentText"/>
    <w:link w:val="CommentSubjectChar"/>
    <w:rsid w:val="00353E0D"/>
    <w:rPr>
      <w:b/>
      <w:bCs/>
    </w:rPr>
  </w:style>
  <w:style w:type="character" w:customStyle="1" w:styleId="CommentSubjectChar">
    <w:name w:val="Comment Subject Char"/>
    <w:link w:val="CommentSubject"/>
    <w:rsid w:val="00353E0D"/>
    <w:rPr>
      <w:b/>
      <w:bCs/>
    </w:rPr>
  </w:style>
  <w:style w:type="character" w:styleId="UnresolvedMention">
    <w:name w:val="Unresolved Mention"/>
    <w:uiPriority w:val="99"/>
    <w:semiHidden/>
    <w:unhideWhenUsed/>
    <w:rsid w:val="006243C5"/>
    <w:rPr>
      <w:color w:val="605E5C"/>
      <w:shd w:val="clear" w:color="auto" w:fill="E1DFDD"/>
    </w:rPr>
  </w:style>
  <w:style w:type="character" w:customStyle="1" w:styleId="Heading1Char">
    <w:name w:val="Heading 1 Char"/>
    <w:basedOn w:val="DefaultParagraphFont"/>
    <w:link w:val="Heading1"/>
    <w:rsid w:val="009C2860"/>
    <w:rPr>
      <w:rFonts w:asciiTheme="minorHAnsi" w:eastAsiaTheme="majorEastAsia" w:hAnsiTheme="minorHAnsi" w:cstheme="minorHAnsi"/>
      <w:b/>
      <w:bCs/>
      <w:kern w:val="32"/>
      <w:sz w:val="32"/>
      <w:szCs w:val="32"/>
    </w:rPr>
  </w:style>
  <w:style w:type="character" w:customStyle="1" w:styleId="Heading2Char">
    <w:name w:val="Heading 2 Char"/>
    <w:basedOn w:val="DefaultParagraphFont"/>
    <w:link w:val="Heading2"/>
    <w:rsid w:val="009C2860"/>
    <w:rPr>
      <w:rFonts w:ascii="Calibri" w:eastAsiaTheme="majorEastAsia" w:hAnsi="Calibri" w:cstheme="majorBidi"/>
      <w:b/>
      <w:sz w:val="28"/>
      <w:szCs w:val="26"/>
    </w:rPr>
  </w:style>
  <w:style w:type="character" w:customStyle="1" w:styleId="Heading3Char">
    <w:name w:val="Heading 3 Char"/>
    <w:basedOn w:val="DefaultParagraphFont"/>
    <w:link w:val="Heading3"/>
    <w:rsid w:val="009C2860"/>
    <w:rPr>
      <w:rFonts w:asciiTheme="minorHAnsi" w:eastAsiaTheme="majorEastAsia" w:hAnsiTheme="minorHAnsi" w:cstheme="minorHAnsi"/>
      <w:b/>
      <w:sz w:val="24"/>
      <w:szCs w:val="24"/>
    </w:rPr>
  </w:style>
  <w:style w:type="character" w:customStyle="1" w:styleId="Heading4Char">
    <w:name w:val="Heading 4 Char"/>
    <w:basedOn w:val="DefaultParagraphFont"/>
    <w:link w:val="Heading4"/>
    <w:rsid w:val="000B1519"/>
    <w:rPr>
      <w:rFonts w:ascii="Calibri" w:hAnsi="Calibri"/>
      <w:i/>
      <w:sz w:val="24"/>
      <w:szCs w:val="24"/>
    </w:rPr>
  </w:style>
  <w:style w:type="character" w:styleId="EndnoteReference">
    <w:name w:val="endnote reference"/>
    <w:basedOn w:val="DefaultParagraphFont"/>
    <w:uiPriority w:val="99"/>
    <w:unhideWhenUsed/>
    <w:rsid w:val="00644AAB"/>
    <w:rPr>
      <w:vertAlign w:val="superscript"/>
    </w:rPr>
  </w:style>
  <w:style w:type="character" w:customStyle="1" w:styleId="EndnoteTextChar">
    <w:name w:val="Endnote Text Char"/>
    <w:basedOn w:val="DefaultParagraphFont"/>
    <w:link w:val="EndnoteText"/>
    <w:uiPriority w:val="99"/>
    <w:rsid w:val="00644AAB"/>
  </w:style>
  <w:style w:type="paragraph" w:styleId="EndnoteText">
    <w:name w:val="endnote text"/>
    <w:basedOn w:val="Normal"/>
    <w:link w:val="EndnoteTextChar"/>
    <w:uiPriority w:val="99"/>
    <w:unhideWhenUsed/>
    <w:rsid w:val="00644AAB"/>
    <w:rPr>
      <w:rFonts w:ascii="Times New Roman" w:hAnsi="Times New Roman"/>
      <w:sz w:val="20"/>
      <w:szCs w:val="20"/>
    </w:rPr>
  </w:style>
  <w:style w:type="character" w:customStyle="1" w:styleId="EndnoteTextChar1">
    <w:name w:val="Endnote Text Char1"/>
    <w:basedOn w:val="DefaultParagraphFont"/>
    <w:rsid w:val="00644AAB"/>
    <w:rPr>
      <w:rFonts w:ascii="Calibri" w:hAnsi="Calibri"/>
    </w:rPr>
  </w:style>
  <w:style w:type="paragraph" w:styleId="Revision">
    <w:name w:val="Revision"/>
    <w:hidden/>
    <w:uiPriority w:val="99"/>
    <w:semiHidden/>
    <w:rsid w:val="00961EA8"/>
    <w:rPr>
      <w:rFonts w:ascii="Calibri" w:hAnsi="Calibri"/>
      <w:sz w:val="24"/>
      <w:szCs w:val="24"/>
    </w:rPr>
  </w:style>
  <w:style w:type="character" w:styleId="LineNumber">
    <w:name w:val="line number"/>
    <w:basedOn w:val="DefaultParagraphFont"/>
    <w:rsid w:val="008F3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3911">
      <w:bodyDiv w:val="1"/>
      <w:marLeft w:val="0"/>
      <w:marRight w:val="0"/>
      <w:marTop w:val="0"/>
      <w:marBottom w:val="0"/>
      <w:divBdr>
        <w:top w:val="none" w:sz="0" w:space="0" w:color="auto"/>
        <w:left w:val="none" w:sz="0" w:space="0" w:color="auto"/>
        <w:bottom w:val="none" w:sz="0" w:space="0" w:color="auto"/>
        <w:right w:val="none" w:sz="0" w:space="0" w:color="auto"/>
      </w:divBdr>
    </w:div>
    <w:div w:id="1202286099">
      <w:bodyDiv w:val="1"/>
      <w:marLeft w:val="0"/>
      <w:marRight w:val="0"/>
      <w:marTop w:val="0"/>
      <w:marBottom w:val="0"/>
      <w:divBdr>
        <w:top w:val="none" w:sz="0" w:space="0" w:color="auto"/>
        <w:left w:val="none" w:sz="0" w:space="0" w:color="auto"/>
        <w:bottom w:val="none" w:sz="0" w:space="0" w:color="auto"/>
        <w:right w:val="none" w:sz="0" w:space="0" w:color="auto"/>
      </w:divBdr>
    </w:div>
    <w:div w:id="20642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Speaks@ctc.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ryn.Taylor@ctc.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peaks@ctc.ca.gov" TargetMode="External"/><Relationship Id="rId5" Type="http://schemas.openxmlformats.org/officeDocument/2006/relationships/numbering" Target="numbering.xml"/><Relationship Id="rId15" Type="http://schemas.openxmlformats.org/officeDocument/2006/relationships/hyperlink" Target="http://www.ctc.ca.gov/notices/rulemaking.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hryn.Taylor@ct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C7E7EC4E40C4A8F75DF1E5C8096A8" ma:contentTypeVersion="4" ma:contentTypeDescription="Create a new document." ma:contentTypeScope="" ma:versionID="d7dfd5eafc39582bbd11f1db29e222a8">
  <xsd:schema xmlns:xsd="http://www.w3.org/2001/XMLSchema" xmlns:xs="http://www.w3.org/2001/XMLSchema" xmlns:p="http://schemas.microsoft.com/office/2006/metadata/properties" xmlns:ns2="a71e70ea-49f9-41ab-a202-d6d574d9d662" xmlns:ns3="d318d0f6-a4f9-40f7-b2fa-741df7e88d79" targetNamespace="http://schemas.microsoft.com/office/2006/metadata/properties" ma:root="true" ma:fieldsID="a583aa805bf6036d12f359ddf5e1f809" ns2:_="" ns3:_="">
    <xsd:import namespace="a71e70ea-49f9-41ab-a202-d6d574d9d662"/>
    <xsd:import namespace="d318d0f6-a4f9-40f7-b2fa-741df7e88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70ea-49f9-41ab-a202-d6d574d9d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18d0f6-a4f9-40f7-b2fa-741df7e88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FF590-B1E5-439C-9098-D970587E4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70ea-49f9-41ab-a202-d6d574d9d662"/>
    <ds:schemaRef ds:uri="d318d0f6-a4f9-40f7-b2fa-741df7e88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DFACA-63B0-4485-8F5F-56A8D481DB46}">
  <ds:schemaRefs>
    <ds:schemaRef ds:uri="http://schemas.microsoft.com/sharepoint/v3/contenttype/forms"/>
  </ds:schemaRefs>
</ds:datastoreItem>
</file>

<file path=customXml/itemProps3.xml><?xml version="1.0" encoding="utf-8"?>
<ds:datastoreItem xmlns:ds="http://schemas.openxmlformats.org/officeDocument/2006/customXml" ds:itemID="{350496D3-6DDF-4791-BF7F-B71F6CEB69E1}">
  <ds:schemaRefs>
    <ds:schemaRef ds:uri="http://schemas.openxmlformats.org/officeDocument/2006/bibliography"/>
  </ds:schemaRefs>
</ds:datastoreItem>
</file>

<file path=customXml/itemProps4.xml><?xml version="1.0" encoding="utf-8"?>
<ds:datastoreItem xmlns:ds="http://schemas.openxmlformats.org/officeDocument/2006/customXml" ds:itemID="{82F342F0-F682-45A4-A2D8-EAD27D8294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Notice of Proposed Amendments and Addition to T5 Regulations - PPS</vt:lpstr>
    </vt:vector>
  </TitlesOfParts>
  <Company>CCTC</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Amendments and Addition to T5 Regulations - PPS</dc:title>
  <dc:subject/>
  <dc:creator>Kathryn.Taylor@ctc.ca.gov</dc:creator>
  <cp:keywords/>
  <cp:lastModifiedBy>Hu, Brendan</cp:lastModifiedBy>
  <cp:revision>2</cp:revision>
  <cp:lastPrinted>2018-12-05T20:07:00Z</cp:lastPrinted>
  <dcterms:created xsi:type="dcterms:W3CDTF">2021-07-01T19:26:00Z</dcterms:created>
  <dcterms:modified xsi:type="dcterms:W3CDTF">2021-07-01T19:26:00Z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0x010100077C7E7EC4E40C4A8F75DF1E5C8096A8</vt:lpwstr>
  </property>
</Properties>
</file>